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569F4" w14:textId="77777777" w:rsidR="001535CD" w:rsidRDefault="001535CD" w:rsidP="005239E5">
      <w:pPr>
        <w:contextualSpacing/>
        <w:rPr>
          <w:rFonts w:cs="Arial"/>
          <w:b/>
          <w:bCs/>
          <w:u w:val="single"/>
        </w:rPr>
      </w:pPr>
      <w:bookmarkStart w:id="0" w:name="_GoBack"/>
      <w:bookmarkEnd w:id="0"/>
    </w:p>
    <w:p w14:paraId="2EEE7B40" w14:textId="77777777" w:rsidR="001535CD" w:rsidRPr="008E1209" w:rsidRDefault="00E43DDD" w:rsidP="005239E5">
      <w:pPr>
        <w:contextualSpacing/>
        <w:jc w:val="center"/>
        <w:rPr>
          <w:b/>
          <w:sz w:val="36"/>
          <w:szCs w:val="36"/>
        </w:rPr>
      </w:pPr>
      <w:r w:rsidRPr="00E069DC">
        <w:rPr>
          <w:b/>
          <w:sz w:val="36"/>
          <w:szCs w:val="36"/>
        </w:rPr>
        <w:t>Estudo</w:t>
      </w:r>
      <w:r w:rsidR="001535CD" w:rsidRPr="00E069DC">
        <w:rPr>
          <w:b/>
          <w:sz w:val="36"/>
          <w:szCs w:val="36"/>
        </w:rPr>
        <w:t xml:space="preserve"> clínico da otimização do manejo cardiovascular perioperatório para melhorar resultados cirúrgicos II (OPTIMISE II)</w:t>
      </w:r>
    </w:p>
    <w:p w14:paraId="0DFB1647" w14:textId="77777777" w:rsidR="001535CD" w:rsidRDefault="001535CD" w:rsidP="005239E5">
      <w:pPr>
        <w:ind w:left="3600" w:hanging="3600"/>
        <w:contextualSpacing/>
        <w:rPr>
          <w:rFonts w:cs="Arial"/>
          <w:i/>
          <w:szCs w:val="22"/>
        </w:rPr>
      </w:pPr>
    </w:p>
    <w:p w14:paraId="749254F7" w14:textId="77777777" w:rsidR="001535CD" w:rsidRPr="00025A64" w:rsidRDefault="00E43DDD" w:rsidP="005239E5">
      <w:pPr>
        <w:contextualSpacing/>
        <w:jc w:val="center"/>
      </w:pPr>
      <w:r>
        <w:t>Estudo</w:t>
      </w:r>
      <w:r w:rsidR="00D91233">
        <w:t xml:space="preserve"> </w:t>
      </w:r>
      <w:r w:rsidR="001535CD">
        <w:t>clínico aberto, controlado, multicêntrico, randomizado de fluidoterapia guiada por débito cardíaco com infusão de inotrópico em dose baixa comparada ao tratamento habitual com cuidados padrão em pacientes submetidos a uma cirurgia eletiva gastrointestinal de grande porte.</w:t>
      </w:r>
    </w:p>
    <w:p w14:paraId="2CD28A42" w14:textId="77777777" w:rsidR="001535CD" w:rsidRDefault="001535CD" w:rsidP="005239E5">
      <w:pPr>
        <w:contextualSpacing/>
        <w:jc w:val="both"/>
        <w:rPr>
          <w:rFonts w:cs="Arial"/>
          <w:b/>
          <w:szCs w:val="22"/>
        </w:rPr>
      </w:pPr>
    </w:p>
    <w:p w14:paraId="240EC9A4" w14:textId="77777777" w:rsidR="001535CD" w:rsidRDefault="001535CD" w:rsidP="005239E5">
      <w:pPr>
        <w:contextualSpacing/>
        <w:jc w:val="both"/>
        <w:rPr>
          <w:rFonts w:cs="Arial"/>
          <w:b/>
          <w:szCs w:val="22"/>
        </w:rPr>
      </w:pPr>
    </w:p>
    <w:p w14:paraId="665A4CE0" w14:textId="60FD90E4" w:rsidR="001535CD" w:rsidRPr="00CD17AC" w:rsidRDefault="001535CD" w:rsidP="005239E5">
      <w:pPr>
        <w:spacing w:line="276" w:lineRule="auto"/>
        <w:ind w:left="2835" w:hanging="2835"/>
        <w:contextualSpacing/>
        <w:jc w:val="both"/>
        <w:rPr>
          <w:rFonts w:cs="Arial"/>
          <w:b/>
          <w:i/>
          <w:szCs w:val="22"/>
        </w:rPr>
      </w:pPr>
      <w:r>
        <w:rPr>
          <w:b/>
        </w:rPr>
        <w:t>Título abreviado</w:t>
      </w:r>
      <w:r w:rsidR="003E6F8B">
        <w:tab/>
      </w:r>
      <w:r>
        <w:rPr>
          <w:i/>
        </w:rPr>
        <w:t>Estudo</w:t>
      </w:r>
      <w:r>
        <w:t xml:space="preserve"> </w:t>
      </w:r>
      <w:r>
        <w:rPr>
          <w:i/>
        </w:rPr>
        <w:t>OPTIMISE II</w:t>
      </w:r>
    </w:p>
    <w:p w14:paraId="31442556" w14:textId="77777777" w:rsidR="001535CD" w:rsidRPr="005C7FE8" w:rsidRDefault="001535CD" w:rsidP="005239E5">
      <w:pPr>
        <w:spacing w:line="276" w:lineRule="auto"/>
        <w:contextualSpacing/>
        <w:rPr>
          <w:rFonts w:cs="Arial"/>
          <w:b/>
          <w:szCs w:val="22"/>
        </w:rPr>
      </w:pPr>
    </w:p>
    <w:p w14:paraId="1E5926AA" w14:textId="77777777" w:rsidR="001535CD" w:rsidRDefault="001535CD" w:rsidP="005239E5">
      <w:pPr>
        <w:spacing w:line="276" w:lineRule="auto"/>
        <w:ind w:left="2835" w:hanging="2835"/>
        <w:contextualSpacing/>
        <w:rPr>
          <w:rFonts w:cs="Arial"/>
          <w:i/>
          <w:szCs w:val="22"/>
        </w:rPr>
      </w:pPr>
      <w:r>
        <w:rPr>
          <w:b/>
        </w:rPr>
        <w:t>Patrocinador</w:t>
      </w:r>
      <w:r>
        <w:tab/>
      </w:r>
      <w:r>
        <w:rPr>
          <w:i/>
        </w:rPr>
        <w:t>Queen Mary University of London</w:t>
      </w:r>
    </w:p>
    <w:p w14:paraId="5D2D1A1A" w14:textId="77777777" w:rsidR="001535CD" w:rsidRDefault="001535CD" w:rsidP="005239E5">
      <w:pPr>
        <w:spacing w:line="276" w:lineRule="auto"/>
        <w:ind w:left="3600" w:hanging="3600"/>
        <w:contextualSpacing/>
        <w:rPr>
          <w:rFonts w:cs="Arial"/>
          <w:i/>
          <w:szCs w:val="22"/>
        </w:rPr>
      </w:pPr>
    </w:p>
    <w:p w14:paraId="264F4930" w14:textId="77777777" w:rsidR="001535CD" w:rsidRDefault="009F6263" w:rsidP="00553CDA">
      <w:pPr>
        <w:spacing w:line="276" w:lineRule="auto"/>
        <w:ind w:left="2835" w:hanging="2835"/>
        <w:contextualSpacing/>
        <w:rPr>
          <w:rFonts w:cs="Arial"/>
          <w:i/>
          <w:szCs w:val="22"/>
        </w:rPr>
      </w:pPr>
      <w:r>
        <w:rPr>
          <w:b/>
        </w:rPr>
        <w:t>Contato do patrocinador</w:t>
      </w:r>
      <w:r>
        <w:tab/>
      </w:r>
      <w:r>
        <w:rPr>
          <w:i/>
        </w:rPr>
        <w:t>Dra. Sally Burtles</w:t>
      </w:r>
    </w:p>
    <w:p w14:paraId="4AB785F0" w14:textId="77777777" w:rsidR="001535CD" w:rsidRDefault="001535CD" w:rsidP="005239E5">
      <w:pPr>
        <w:spacing w:line="276" w:lineRule="auto"/>
        <w:ind w:left="2835" w:hanging="2835"/>
        <w:contextualSpacing/>
        <w:rPr>
          <w:rFonts w:cs="Arial"/>
          <w:b/>
          <w:szCs w:val="22"/>
        </w:rPr>
      </w:pPr>
      <w:r>
        <w:tab/>
      </w:r>
      <w:r>
        <w:rPr>
          <w:i/>
        </w:rPr>
        <w:t>Diretora de Serviços de Pesquisa e Desenvolvimento de Negócios</w:t>
      </w:r>
    </w:p>
    <w:p w14:paraId="7D9A174F" w14:textId="77777777" w:rsidR="001535CD" w:rsidRPr="00E71CE2" w:rsidRDefault="001535CD" w:rsidP="005239E5">
      <w:pPr>
        <w:spacing w:line="276" w:lineRule="auto"/>
        <w:ind w:left="2835" w:hanging="2835"/>
        <w:contextualSpacing/>
        <w:rPr>
          <w:rFonts w:cs="Arial"/>
          <w:i/>
          <w:szCs w:val="22"/>
          <w:lang w:val="en-US"/>
        </w:rPr>
      </w:pPr>
      <w:r>
        <w:tab/>
      </w:r>
      <w:r w:rsidRPr="00E71CE2">
        <w:rPr>
          <w:i/>
          <w:lang w:val="en-US"/>
        </w:rPr>
        <w:t>Joint Research Management Office</w:t>
      </w:r>
    </w:p>
    <w:p w14:paraId="1B7D2AB6" w14:textId="77777777" w:rsidR="001535CD" w:rsidRPr="00E71CE2" w:rsidRDefault="001535CD" w:rsidP="005239E5">
      <w:pPr>
        <w:spacing w:line="276" w:lineRule="auto"/>
        <w:ind w:left="2835" w:hanging="2835"/>
        <w:contextualSpacing/>
        <w:rPr>
          <w:rFonts w:cs="Arial"/>
          <w:i/>
          <w:szCs w:val="22"/>
          <w:lang w:val="en-US"/>
        </w:rPr>
      </w:pPr>
      <w:r w:rsidRPr="00E71CE2">
        <w:rPr>
          <w:lang w:val="en-US"/>
        </w:rPr>
        <w:tab/>
      </w:r>
      <w:r w:rsidRPr="00E71CE2">
        <w:rPr>
          <w:i/>
          <w:lang w:val="en-US"/>
        </w:rPr>
        <w:t>5 Walden Street</w:t>
      </w:r>
    </w:p>
    <w:p w14:paraId="2BDC4915" w14:textId="77777777" w:rsidR="001535CD" w:rsidRPr="00E97D5D" w:rsidRDefault="001535CD" w:rsidP="005239E5">
      <w:pPr>
        <w:spacing w:line="276" w:lineRule="auto"/>
        <w:ind w:left="2835" w:hanging="2835"/>
        <w:contextualSpacing/>
        <w:rPr>
          <w:rFonts w:cs="Arial"/>
          <w:i/>
          <w:szCs w:val="22"/>
        </w:rPr>
      </w:pPr>
      <w:r w:rsidRPr="00E71CE2">
        <w:rPr>
          <w:lang w:val="en-US"/>
        </w:rPr>
        <w:tab/>
      </w:r>
      <w:r w:rsidR="00966C85" w:rsidRPr="00966C85">
        <w:rPr>
          <w:i/>
        </w:rPr>
        <w:t>Londres</w:t>
      </w:r>
    </w:p>
    <w:p w14:paraId="3CEC709D" w14:textId="77777777" w:rsidR="001535CD" w:rsidRDefault="00966C85" w:rsidP="005239E5">
      <w:pPr>
        <w:spacing w:line="276" w:lineRule="auto"/>
        <w:ind w:left="2835" w:hanging="2835"/>
        <w:contextualSpacing/>
        <w:rPr>
          <w:rFonts w:cs="Arial"/>
          <w:i/>
          <w:szCs w:val="22"/>
        </w:rPr>
      </w:pPr>
      <w:r w:rsidRPr="00966C85">
        <w:tab/>
      </w:r>
      <w:r w:rsidR="001535CD">
        <w:rPr>
          <w:i/>
        </w:rPr>
        <w:t>E1 2EF</w:t>
      </w:r>
    </w:p>
    <w:p w14:paraId="55A90389" w14:textId="77777777" w:rsidR="001535CD" w:rsidRDefault="001535CD" w:rsidP="005239E5">
      <w:pPr>
        <w:spacing w:line="276" w:lineRule="auto"/>
        <w:ind w:left="2835"/>
        <w:contextualSpacing/>
        <w:rPr>
          <w:rFonts w:cs="Arial"/>
          <w:i/>
          <w:szCs w:val="22"/>
        </w:rPr>
      </w:pPr>
      <w:r>
        <w:rPr>
          <w:i/>
        </w:rPr>
        <w:t>Telefone: 00 44 207 882 7260</w:t>
      </w:r>
    </w:p>
    <w:p w14:paraId="4FF98A11" w14:textId="77777777" w:rsidR="001535CD" w:rsidRDefault="00553CDA" w:rsidP="005239E5">
      <w:pPr>
        <w:spacing w:line="276" w:lineRule="auto"/>
        <w:ind w:left="2835"/>
        <w:contextualSpacing/>
        <w:rPr>
          <w:rFonts w:cs="Arial"/>
          <w:i/>
          <w:szCs w:val="22"/>
        </w:rPr>
      </w:pPr>
      <w:r>
        <w:rPr>
          <w:i/>
        </w:rPr>
        <w:t xml:space="preserve">E-mail: </w:t>
      </w:r>
      <w:hyperlink r:id="rId9">
        <w:r>
          <w:rPr>
            <w:rStyle w:val="Hyperlink"/>
            <w:i/>
          </w:rPr>
          <w:t>sponsorsrep@bartshealth.nhs.uk</w:t>
        </w:r>
      </w:hyperlink>
    </w:p>
    <w:p w14:paraId="33328C36" w14:textId="77777777" w:rsidR="001535CD" w:rsidRPr="003E79CC" w:rsidRDefault="001535CD" w:rsidP="005239E5">
      <w:pPr>
        <w:spacing w:line="276" w:lineRule="auto"/>
        <w:ind w:left="2835"/>
        <w:contextualSpacing/>
        <w:rPr>
          <w:rFonts w:cs="Arial"/>
          <w:i/>
          <w:szCs w:val="22"/>
        </w:rPr>
      </w:pPr>
    </w:p>
    <w:p w14:paraId="3539CBE2" w14:textId="3F8FBF5E" w:rsidR="001535CD" w:rsidRPr="00463178" w:rsidRDefault="009F6263" w:rsidP="005239E5">
      <w:pPr>
        <w:spacing w:line="276" w:lineRule="auto"/>
        <w:ind w:left="2835" w:hanging="2835"/>
        <w:contextualSpacing/>
        <w:jc w:val="both"/>
        <w:rPr>
          <w:rFonts w:cs="Arial"/>
          <w:i/>
          <w:szCs w:val="22"/>
        </w:rPr>
      </w:pPr>
      <w:r w:rsidRPr="00E069DC">
        <w:rPr>
          <w:b/>
        </w:rPr>
        <w:t>Referência IRAS</w:t>
      </w:r>
      <w:r>
        <w:tab/>
      </w:r>
      <w:r>
        <w:rPr>
          <w:i/>
        </w:rPr>
        <w:t>209688</w:t>
      </w:r>
    </w:p>
    <w:p w14:paraId="054F75E5" w14:textId="77777777" w:rsidR="001535CD" w:rsidRPr="005C7FE8" w:rsidRDefault="001535CD" w:rsidP="005239E5">
      <w:pPr>
        <w:spacing w:line="276" w:lineRule="auto"/>
        <w:contextualSpacing/>
        <w:jc w:val="both"/>
        <w:rPr>
          <w:rFonts w:cs="Arial"/>
          <w:b/>
          <w:szCs w:val="22"/>
        </w:rPr>
      </w:pPr>
    </w:p>
    <w:p w14:paraId="546A8F08" w14:textId="77777777" w:rsidR="001535CD" w:rsidRDefault="001535CD" w:rsidP="005239E5">
      <w:pPr>
        <w:spacing w:line="276" w:lineRule="auto"/>
        <w:contextualSpacing/>
        <w:jc w:val="both"/>
        <w:rPr>
          <w:rFonts w:cs="Arial"/>
          <w:i/>
          <w:szCs w:val="22"/>
        </w:rPr>
      </w:pPr>
      <w:r>
        <w:rPr>
          <w:b/>
        </w:rPr>
        <w:t>Investigador</w:t>
      </w:r>
      <w:r>
        <w:t>-</w:t>
      </w:r>
      <w:r>
        <w:rPr>
          <w:b/>
        </w:rPr>
        <w:t>chefe</w:t>
      </w:r>
      <w:r>
        <w:tab/>
      </w:r>
      <w:r>
        <w:tab/>
      </w:r>
      <w:r>
        <w:rPr>
          <w:i/>
        </w:rPr>
        <w:t>Prof Rupert Pearse</w:t>
      </w:r>
    </w:p>
    <w:p w14:paraId="16FE12A1" w14:textId="77777777" w:rsidR="00011061" w:rsidRDefault="00011061" w:rsidP="0073579F">
      <w:pPr>
        <w:spacing w:line="276" w:lineRule="auto"/>
        <w:contextualSpacing/>
        <w:jc w:val="both"/>
        <w:rPr>
          <w:rFonts w:cs="Arial"/>
          <w:b/>
          <w:szCs w:val="22"/>
        </w:rPr>
      </w:pPr>
    </w:p>
    <w:p w14:paraId="2C1D7378" w14:textId="77777777" w:rsidR="0073579F" w:rsidRDefault="00A73C00" w:rsidP="0073579F">
      <w:pPr>
        <w:spacing w:line="276" w:lineRule="auto"/>
        <w:contextualSpacing/>
        <w:jc w:val="both"/>
        <w:rPr>
          <w:rFonts w:cs="Arial"/>
          <w:i/>
          <w:szCs w:val="22"/>
        </w:rPr>
      </w:pPr>
      <w:r>
        <w:rPr>
          <w:b/>
        </w:rPr>
        <w:t>Investigador</w:t>
      </w:r>
      <w:r>
        <w:t xml:space="preserve"> </w:t>
      </w:r>
      <w:r>
        <w:rPr>
          <w:b/>
        </w:rPr>
        <w:t>associado</w:t>
      </w:r>
      <w:r>
        <w:tab/>
      </w:r>
      <w:r>
        <w:rPr>
          <w:i/>
        </w:rPr>
        <w:t>Dr Mark Edwards</w:t>
      </w:r>
    </w:p>
    <w:p w14:paraId="00E3994A" w14:textId="77777777" w:rsidR="001535CD" w:rsidRDefault="001535CD" w:rsidP="006C5787">
      <w:pPr>
        <w:spacing w:line="276" w:lineRule="auto"/>
        <w:contextualSpacing/>
        <w:jc w:val="right"/>
        <w:rPr>
          <w:rFonts w:cs="Arial"/>
          <w:b/>
          <w:szCs w:val="22"/>
        </w:rPr>
      </w:pPr>
    </w:p>
    <w:p w14:paraId="666E2257" w14:textId="77777777" w:rsidR="002A1535" w:rsidRDefault="001535CD" w:rsidP="009F6263">
      <w:pPr>
        <w:spacing w:line="276" w:lineRule="auto"/>
        <w:ind w:left="2835" w:hanging="2835"/>
        <w:contextualSpacing/>
        <w:jc w:val="both"/>
        <w:rPr>
          <w:b/>
        </w:rPr>
      </w:pPr>
      <w:r>
        <w:rPr>
          <w:b/>
        </w:rPr>
        <w:t>Centro coordenador</w:t>
      </w:r>
    </w:p>
    <w:p w14:paraId="367C656E" w14:textId="677E69A4" w:rsidR="009F6263" w:rsidRPr="009F6263" w:rsidRDefault="001535CD" w:rsidP="009F6263">
      <w:pPr>
        <w:spacing w:line="276" w:lineRule="auto"/>
        <w:ind w:left="2835" w:hanging="2835"/>
        <w:contextualSpacing/>
        <w:jc w:val="both"/>
        <w:rPr>
          <w:rFonts w:cs="Arial"/>
          <w:i/>
          <w:szCs w:val="22"/>
        </w:rPr>
      </w:pPr>
      <w:r>
        <w:rPr>
          <w:b/>
        </w:rPr>
        <w:t>no Reino Unido</w:t>
      </w:r>
      <w:r>
        <w:tab/>
      </w:r>
      <w:r>
        <w:rPr>
          <w:i/>
        </w:rPr>
        <w:t>Pragmatic Clinical Trials Unit</w:t>
      </w:r>
    </w:p>
    <w:p w14:paraId="5D4BF39E" w14:textId="77A7A8E4" w:rsidR="009F6263" w:rsidRPr="00E71CE2" w:rsidRDefault="009F6263" w:rsidP="009F6263">
      <w:pPr>
        <w:spacing w:line="276" w:lineRule="auto"/>
        <w:ind w:left="2835" w:hanging="2835"/>
        <w:contextualSpacing/>
        <w:jc w:val="both"/>
        <w:rPr>
          <w:rFonts w:cs="Arial"/>
          <w:i/>
          <w:szCs w:val="22"/>
          <w:lang w:val="en-US"/>
        </w:rPr>
      </w:pPr>
      <w:r>
        <w:tab/>
      </w:r>
      <w:r w:rsidRPr="00E71CE2">
        <w:rPr>
          <w:i/>
          <w:lang w:val="en-US"/>
        </w:rPr>
        <w:t>Queen Mary University of London</w:t>
      </w:r>
    </w:p>
    <w:p w14:paraId="45CDE4B7" w14:textId="0ED8993D" w:rsidR="009F6263" w:rsidRPr="00E71CE2" w:rsidRDefault="009F6263" w:rsidP="009F6263">
      <w:pPr>
        <w:spacing w:line="276" w:lineRule="auto"/>
        <w:ind w:left="2835" w:hanging="2835"/>
        <w:contextualSpacing/>
        <w:jc w:val="both"/>
        <w:rPr>
          <w:rFonts w:cs="Arial"/>
          <w:i/>
          <w:szCs w:val="22"/>
          <w:lang w:val="en-US"/>
        </w:rPr>
      </w:pPr>
      <w:r w:rsidRPr="00E71CE2">
        <w:rPr>
          <w:lang w:val="en-US"/>
        </w:rPr>
        <w:tab/>
      </w:r>
      <w:r w:rsidRPr="00E71CE2">
        <w:rPr>
          <w:i/>
          <w:lang w:val="en-US"/>
        </w:rPr>
        <w:t>4 Newark Street</w:t>
      </w:r>
    </w:p>
    <w:p w14:paraId="06CC250A" w14:textId="77777777" w:rsidR="009F6263" w:rsidRPr="00DC4E6A" w:rsidRDefault="00966C85" w:rsidP="00E069DC">
      <w:pPr>
        <w:spacing w:line="276" w:lineRule="auto"/>
        <w:ind w:left="2115" w:firstLine="720"/>
        <w:contextualSpacing/>
        <w:jc w:val="both"/>
        <w:rPr>
          <w:rFonts w:cs="Arial"/>
          <w:i/>
          <w:szCs w:val="22"/>
        </w:rPr>
      </w:pPr>
      <w:r w:rsidRPr="00966C85">
        <w:rPr>
          <w:i/>
        </w:rPr>
        <w:t>Londres</w:t>
      </w:r>
    </w:p>
    <w:p w14:paraId="60B59AF7" w14:textId="54384A0E" w:rsidR="009F6263" w:rsidRPr="009F6263" w:rsidRDefault="009F6263" w:rsidP="00E069DC">
      <w:pPr>
        <w:spacing w:line="276" w:lineRule="auto"/>
        <w:ind w:left="2115" w:firstLine="720"/>
        <w:contextualSpacing/>
        <w:jc w:val="both"/>
        <w:rPr>
          <w:rFonts w:cs="Arial"/>
          <w:i/>
          <w:szCs w:val="22"/>
        </w:rPr>
      </w:pPr>
      <w:r>
        <w:rPr>
          <w:i/>
        </w:rPr>
        <w:t>E1 2AT</w:t>
      </w:r>
    </w:p>
    <w:p w14:paraId="3206E79F" w14:textId="77777777" w:rsidR="001535CD" w:rsidRPr="009F6263" w:rsidRDefault="009F6263" w:rsidP="00E069DC">
      <w:pPr>
        <w:spacing w:line="276" w:lineRule="auto"/>
        <w:ind w:left="2115" w:firstLine="720"/>
        <w:contextualSpacing/>
        <w:jc w:val="both"/>
        <w:rPr>
          <w:rFonts w:cs="Arial"/>
          <w:b/>
        </w:rPr>
      </w:pPr>
      <w:r>
        <w:rPr>
          <w:i/>
        </w:rPr>
        <w:t>Reino Unido</w:t>
      </w:r>
    </w:p>
    <w:p w14:paraId="4DF09C32" w14:textId="77777777" w:rsidR="009F6263" w:rsidRDefault="009F6263">
      <w:pPr>
        <w:spacing w:line="240" w:lineRule="auto"/>
        <w:rPr>
          <w:rFonts w:cs="Arial"/>
          <w:b/>
          <w:color w:val="000000"/>
          <w:sz w:val="24"/>
        </w:rPr>
      </w:pPr>
      <w:r>
        <w:br w:type="page"/>
      </w:r>
    </w:p>
    <w:p w14:paraId="22A51769" w14:textId="267B6C57" w:rsidR="001535CD" w:rsidRDefault="001535CD" w:rsidP="005239E5">
      <w:pPr>
        <w:pStyle w:val="Default"/>
        <w:spacing w:line="360" w:lineRule="auto"/>
        <w:contextualSpacing/>
        <w:jc w:val="center"/>
        <w:rPr>
          <w:rFonts w:ascii="Arial" w:hAnsi="Arial" w:cs="Arial"/>
          <w:b/>
        </w:rPr>
      </w:pPr>
      <w:r>
        <w:rPr>
          <w:rFonts w:ascii="Arial" w:hAnsi="Arial"/>
          <w:b/>
        </w:rPr>
        <w:lastRenderedPageBreak/>
        <w:t>Conteúdo</w:t>
      </w:r>
    </w:p>
    <w:p w14:paraId="327FEA8A" w14:textId="77777777" w:rsidR="009F6263" w:rsidRPr="00E32532" w:rsidRDefault="009F6263" w:rsidP="005239E5">
      <w:pPr>
        <w:pStyle w:val="Default"/>
        <w:spacing w:line="360" w:lineRule="auto"/>
        <w:contextualSpacing/>
        <w:jc w:val="center"/>
        <w:rPr>
          <w:rFonts w:ascii="Arial" w:hAnsi="Arial" w:cs="Arial"/>
          <w:sz w:val="22"/>
          <w:szCs w:val="22"/>
        </w:rPr>
      </w:pPr>
    </w:p>
    <w:p w14:paraId="70559057" w14:textId="77777777" w:rsidR="00265104" w:rsidRPr="00E71CE2" w:rsidRDefault="00966C85">
      <w:pPr>
        <w:pStyle w:val="TOC1"/>
        <w:rPr>
          <w:rFonts w:asciiTheme="minorHAnsi" w:eastAsiaTheme="minorEastAsia" w:hAnsiTheme="minorHAnsi" w:cstheme="minorBidi"/>
          <w:b w:val="0"/>
          <w:caps w:val="0"/>
          <w:noProof/>
          <w:szCs w:val="22"/>
          <w:lang w:eastAsia="en-US" w:bidi="ar-SA"/>
        </w:rPr>
      </w:pPr>
      <w:r w:rsidRPr="002C736D">
        <w:rPr>
          <w:rFonts w:ascii="Arial" w:hAnsi="Arial" w:cs="Arial"/>
          <w:szCs w:val="22"/>
        </w:rPr>
        <w:fldChar w:fldCharType="begin"/>
      </w:r>
      <w:r w:rsidR="001535CD" w:rsidRPr="002C736D">
        <w:rPr>
          <w:rFonts w:ascii="Arial" w:hAnsi="Arial" w:cs="Arial"/>
          <w:szCs w:val="22"/>
        </w:rPr>
        <w:instrText xml:space="preserve"> TOC \o "1-1" </w:instrText>
      </w:r>
      <w:r w:rsidRPr="002C736D">
        <w:rPr>
          <w:rFonts w:ascii="Arial" w:hAnsi="Arial" w:cs="Arial"/>
          <w:szCs w:val="22"/>
        </w:rPr>
        <w:fldChar w:fldCharType="separate"/>
      </w:r>
      <w:r w:rsidR="00265104">
        <w:rPr>
          <w:noProof/>
        </w:rPr>
        <w:t xml:space="preserve">1. </w:t>
      </w:r>
      <w:r w:rsidR="00265104" w:rsidRPr="00E71CE2">
        <w:rPr>
          <w:rFonts w:asciiTheme="minorHAnsi" w:eastAsiaTheme="minorEastAsia" w:hAnsiTheme="minorHAnsi" w:cstheme="minorBidi"/>
          <w:b w:val="0"/>
          <w:caps w:val="0"/>
          <w:noProof/>
          <w:szCs w:val="22"/>
          <w:lang w:eastAsia="en-US" w:bidi="ar-SA"/>
        </w:rPr>
        <w:tab/>
      </w:r>
      <w:r w:rsidR="00265104">
        <w:rPr>
          <w:noProof/>
        </w:rPr>
        <w:t>GLOSSÁRIO DE ABREVIATURAS E DEFINIÇÃO DE TERMOS</w:t>
      </w:r>
      <w:r w:rsidR="00265104">
        <w:rPr>
          <w:noProof/>
        </w:rPr>
        <w:tab/>
      </w:r>
      <w:r>
        <w:rPr>
          <w:noProof/>
        </w:rPr>
        <w:fldChar w:fldCharType="begin"/>
      </w:r>
      <w:r w:rsidR="00265104">
        <w:rPr>
          <w:noProof/>
        </w:rPr>
        <w:instrText xml:space="preserve"> PAGEREF _Toc508183518 \h </w:instrText>
      </w:r>
      <w:r>
        <w:rPr>
          <w:noProof/>
        </w:rPr>
      </w:r>
      <w:r>
        <w:rPr>
          <w:noProof/>
        </w:rPr>
        <w:fldChar w:fldCharType="separate"/>
      </w:r>
      <w:r w:rsidR="00265104">
        <w:rPr>
          <w:noProof/>
        </w:rPr>
        <w:t>4</w:t>
      </w:r>
      <w:r>
        <w:rPr>
          <w:noProof/>
        </w:rPr>
        <w:fldChar w:fldCharType="end"/>
      </w:r>
    </w:p>
    <w:p w14:paraId="1D8F3C23"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2.</w:t>
      </w:r>
      <w:r w:rsidRPr="00E71CE2">
        <w:rPr>
          <w:rFonts w:asciiTheme="minorHAnsi" w:eastAsiaTheme="minorEastAsia" w:hAnsiTheme="minorHAnsi" w:cstheme="minorBidi"/>
          <w:b w:val="0"/>
          <w:caps w:val="0"/>
          <w:noProof/>
          <w:szCs w:val="22"/>
          <w:lang w:eastAsia="en-US" w:bidi="ar-SA"/>
        </w:rPr>
        <w:tab/>
      </w:r>
      <w:r>
        <w:rPr>
          <w:noProof/>
        </w:rPr>
        <w:t>ASSINATURAS</w:t>
      </w:r>
      <w:r>
        <w:rPr>
          <w:noProof/>
        </w:rPr>
        <w:tab/>
      </w:r>
      <w:r w:rsidR="00966C85">
        <w:rPr>
          <w:noProof/>
        </w:rPr>
        <w:fldChar w:fldCharType="begin"/>
      </w:r>
      <w:r>
        <w:rPr>
          <w:noProof/>
        </w:rPr>
        <w:instrText xml:space="preserve"> PAGEREF _Toc508183519 \h </w:instrText>
      </w:r>
      <w:r w:rsidR="00966C85">
        <w:rPr>
          <w:noProof/>
        </w:rPr>
      </w:r>
      <w:r w:rsidR="00966C85">
        <w:rPr>
          <w:noProof/>
        </w:rPr>
        <w:fldChar w:fldCharType="separate"/>
      </w:r>
      <w:r>
        <w:rPr>
          <w:noProof/>
        </w:rPr>
        <w:t>6</w:t>
      </w:r>
      <w:r w:rsidR="00966C85">
        <w:rPr>
          <w:noProof/>
        </w:rPr>
        <w:fldChar w:fldCharType="end"/>
      </w:r>
    </w:p>
    <w:p w14:paraId="1B02DF29"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3.</w:t>
      </w:r>
      <w:r w:rsidRPr="00E71CE2">
        <w:rPr>
          <w:rFonts w:asciiTheme="minorHAnsi" w:eastAsiaTheme="minorEastAsia" w:hAnsiTheme="minorHAnsi" w:cstheme="minorBidi"/>
          <w:b w:val="0"/>
          <w:caps w:val="0"/>
          <w:noProof/>
          <w:szCs w:val="22"/>
          <w:lang w:eastAsia="en-US" w:bidi="ar-SA"/>
        </w:rPr>
        <w:tab/>
      </w:r>
      <w:r>
        <w:rPr>
          <w:noProof/>
        </w:rPr>
        <w:t>RESUMO</w:t>
      </w:r>
      <w:r>
        <w:rPr>
          <w:noProof/>
        </w:rPr>
        <w:tab/>
      </w:r>
      <w:r w:rsidR="00966C85">
        <w:rPr>
          <w:noProof/>
        </w:rPr>
        <w:fldChar w:fldCharType="begin"/>
      </w:r>
      <w:r>
        <w:rPr>
          <w:noProof/>
        </w:rPr>
        <w:instrText xml:space="preserve"> PAGEREF _Toc508183520 \h </w:instrText>
      </w:r>
      <w:r w:rsidR="00966C85">
        <w:rPr>
          <w:noProof/>
        </w:rPr>
      </w:r>
      <w:r w:rsidR="00966C85">
        <w:rPr>
          <w:noProof/>
        </w:rPr>
        <w:fldChar w:fldCharType="separate"/>
      </w:r>
      <w:r>
        <w:rPr>
          <w:noProof/>
        </w:rPr>
        <w:t>7</w:t>
      </w:r>
      <w:r w:rsidR="00966C85">
        <w:rPr>
          <w:noProof/>
        </w:rPr>
        <w:fldChar w:fldCharType="end"/>
      </w:r>
    </w:p>
    <w:p w14:paraId="5837F691"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 xml:space="preserve">4. </w:t>
      </w:r>
      <w:r w:rsidRPr="00E71CE2">
        <w:rPr>
          <w:rFonts w:asciiTheme="minorHAnsi" w:eastAsiaTheme="minorEastAsia" w:hAnsiTheme="minorHAnsi" w:cstheme="minorBidi"/>
          <w:b w:val="0"/>
          <w:caps w:val="0"/>
          <w:noProof/>
          <w:szCs w:val="22"/>
          <w:lang w:eastAsia="en-US" w:bidi="ar-SA"/>
        </w:rPr>
        <w:tab/>
      </w:r>
      <w:r>
        <w:rPr>
          <w:noProof/>
        </w:rPr>
        <w:t>INTRODUÇÃO</w:t>
      </w:r>
      <w:r>
        <w:rPr>
          <w:noProof/>
        </w:rPr>
        <w:tab/>
      </w:r>
      <w:r w:rsidR="00966C85">
        <w:rPr>
          <w:noProof/>
        </w:rPr>
        <w:fldChar w:fldCharType="begin"/>
      </w:r>
      <w:r>
        <w:rPr>
          <w:noProof/>
        </w:rPr>
        <w:instrText xml:space="preserve"> PAGEREF _Toc508183521 \h </w:instrText>
      </w:r>
      <w:r w:rsidR="00966C85">
        <w:rPr>
          <w:noProof/>
        </w:rPr>
      </w:r>
      <w:r w:rsidR="00966C85">
        <w:rPr>
          <w:noProof/>
        </w:rPr>
        <w:fldChar w:fldCharType="separate"/>
      </w:r>
      <w:r>
        <w:rPr>
          <w:noProof/>
        </w:rPr>
        <w:t>9</w:t>
      </w:r>
      <w:r w:rsidR="00966C85">
        <w:rPr>
          <w:noProof/>
        </w:rPr>
        <w:fldChar w:fldCharType="end"/>
      </w:r>
    </w:p>
    <w:p w14:paraId="75FB0E3C"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5.</w:t>
      </w:r>
      <w:r w:rsidRPr="00E71CE2">
        <w:rPr>
          <w:rFonts w:asciiTheme="minorHAnsi" w:eastAsiaTheme="minorEastAsia" w:hAnsiTheme="minorHAnsi" w:cstheme="minorBidi"/>
          <w:b w:val="0"/>
          <w:caps w:val="0"/>
          <w:noProof/>
          <w:szCs w:val="22"/>
          <w:lang w:eastAsia="en-US" w:bidi="ar-SA"/>
        </w:rPr>
        <w:tab/>
      </w:r>
      <w:r>
        <w:rPr>
          <w:noProof/>
        </w:rPr>
        <w:t>OBJETIVOS DO ESTUDO</w:t>
      </w:r>
      <w:r>
        <w:rPr>
          <w:noProof/>
        </w:rPr>
        <w:tab/>
      </w:r>
      <w:r w:rsidR="00966C85">
        <w:rPr>
          <w:noProof/>
        </w:rPr>
        <w:fldChar w:fldCharType="begin"/>
      </w:r>
      <w:r>
        <w:rPr>
          <w:noProof/>
        </w:rPr>
        <w:instrText xml:space="preserve"> PAGEREF _Toc508183522 \h </w:instrText>
      </w:r>
      <w:r w:rsidR="00966C85">
        <w:rPr>
          <w:noProof/>
        </w:rPr>
      </w:r>
      <w:r w:rsidR="00966C85">
        <w:rPr>
          <w:noProof/>
        </w:rPr>
        <w:fldChar w:fldCharType="separate"/>
      </w:r>
      <w:r>
        <w:rPr>
          <w:noProof/>
        </w:rPr>
        <w:t>12</w:t>
      </w:r>
      <w:r w:rsidR="00966C85">
        <w:rPr>
          <w:noProof/>
        </w:rPr>
        <w:fldChar w:fldCharType="end"/>
      </w:r>
    </w:p>
    <w:p w14:paraId="3B5E13C6"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6.</w:t>
      </w:r>
      <w:r w:rsidRPr="00E71CE2">
        <w:rPr>
          <w:rFonts w:asciiTheme="minorHAnsi" w:eastAsiaTheme="minorEastAsia" w:hAnsiTheme="minorHAnsi" w:cstheme="minorBidi"/>
          <w:b w:val="0"/>
          <w:caps w:val="0"/>
          <w:noProof/>
          <w:szCs w:val="22"/>
          <w:lang w:eastAsia="en-US" w:bidi="ar-SA"/>
        </w:rPr>
        <w:tab/>
      </w:r>
      <w:r>
        <w:rPr>
          <w:noProof/>
        </w:rPr>
        <w:t>METODOLOGIA DO ESTUDO</w:t>
      </w:r>
      <w:r>
        <w:rPr>
          <w:noProof/>
        </w:rPr>
        <w:tab/>
      </w:r>
      <w:r w:rsidR="00966C85">
        <w:rPr>
          <w:noProof/>
        </w:rPr>
        <w:fldChar w:fldCharType="begin"/>
      </w:r>
      <w:r>
        <w:rPr>
          <w:noProof/>
        </w:rPr>
        <w:instrText xml:space="preserve"> PAGEREF _Toc508183523 \h </w:instrText>
      </w:r>
      <w:r w:rsidR="00966C85">
        <w:rPr>
          <w:noProof/>
        </w:rPr>
      </w:r>
      <w:r w:rsidR="00966C85">
        <w:rPr>
          <w:noProof/>
        </w:rPr>
        <w:fldChar w:fldCharType="separate"/>
      </w:r>
      <w:r>
        <w:rPr>
          <w:noProof/>
        </w:rPr>
        <w:t>14</w:t>
      </w:r>
      <w:r w:rsidR="00966C85">
        <w:rPr>
          <w:noProof/>
        </w:rPr>
        <w:fldChar w:fldCharType="end"/>
      </w:r>
    </w:p>
    <w:p w14:paraId="23297610" w14:textId="7777777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7.</w:t>
      </w:r>
      <w:r w:rsidRPr="00E71CE2">
        <w:rPr>
          <w:rFonts w:asciiTheme="minorHAnsi" w:eastAsiaTheme="minorEastAsia" w:hAnsiTheme="minorHAnsi" w:cstheme="minorBidi"/>
          <w:b w:val="0"/>
          <w:caps w:val="0"/>
          <w:noProof/>
          <w:szCs w:val="22"/>
          <w:lang w:eastAsia="en-US" w:bidi="ar-SA"/>
        </w:rPr>
        <w:tab/>
      </w:r>
      <w:r>
        <w:rPr>
          <w:noProof/>
        </w:rPr>
        <w:t>PROCEDIMENTOS DO ESTUDO</w:t>
      </w:r>
      <w:r>
        <w:rPr>
          <w:noProof/>
        </w:rPr>
        <w:tab/>
      </w:r>
      <w:r w:rsidR="00966C85">
        <w:rPr>
          <w:noProof/>
        </w:rPr>
        <w:fldChar w:fldCharType="begin"/>
      </w:r>
      <w:r>
        <w:rPr>
          <w:noProof/>
        </w:rPr>
        <w:instrText xml:space="preserve"> PAGEREF _Toc508183524 \h </w:instrText>
      </w:r>
      <w:r w:rsidR="00966C85">
        <w:rPr>
          <w:noProof/>
        </w:rPr>
      </w:r>
      <w:r w:rsidR="00966C85">
        <w:rPr>
          <w:noProof/>
        </w:rPr>
        <w:fldChar w:fldCharType="separate"/>
      </w:r>
      <w:r>
        <w:rPr>
          <w:noProof/>
        </w:rPr>
        <w:t>15</w:t>
      </w:r>
      <w:r w:rsidR="00966C85">
        <w:rPr>
          <w:noProof/>
        </w:rPr>
        <w:fldChar w:fldCharType="end"/>
      </w:r>
    </w:p>
    <w:p w14:paraId="08A30335" w14:textId="67F7FB6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8.</w:t>
      </w:r>
      <w:r w:rsidRPr="00E71CE2">
        <w:rPr>
          <w:rFonts w:asciiTheme="minorHAnsi" w:eastAsiaTheme="minorEastAsia" w:hAnsiTheme="minorHAnsi" w:cstheme="minorBidi"/>
          <w:b w:val="0"/>
          <w:caps w:val="0"/>
          <w:noProof/>
          <w:szCs w:val="22"/>
          <w:lang w:eastAsia="en-US" w:bidi="ar-SA"/>
        </w:rPr>
        <w:tab/>
      </w:r>
      <w:r>
        <w:rPr>
          <w:noProof/>
        </w:rPr>
        <w:t>CONSIDERAÇÕES ESTATÍSTICAS</w:t>
      </w:r>
      <w:r>
        <w:rPr>
          <w:noProof/>
        </w:rPr>
        <w:tab/>
      </w:r>
      <w:r w:rsidR="00717208">
        <w:rPr>
          <w:noProof/>
        </w:rPr>
        <w:t>25</w:t>
      </w:r>
    </w:p>
    <w:p w14:paraId="70BEAEFD" w14:textId="2F74884B"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9.</w:t>
      </w:r>
      <w:r w:rsidRPr="00E71CE2">
        <w:rPr>
          <w:rFonts w:asciiTheme="minorHAnsi" w:eastAsiaTheme="minorEastAsia" w:hAnsiTheme="minorHAnsi" w:cstheme="minorBidi"/>
          <w:b w:val="0"/>
          <w:caps w:val="0"/>
          <w:noProof/>
          <w:szCs w:val="22"/>
          <w:lang w:eastAsia="en-US" w:bidi="ar-SA"/>
        </w:rPr>
        <w:tab/>
      </w:r>
      <w:r>
        <w:rPr>
          <w:noProof/>
        </w:rPr>
        <w:t>ÉTICA DA PESQUISA</w:t>
      </w:r>
      <w:r>
        <w:rPr>
          <w:noProof/>
        </w:rPr>
        <w:tab/>
      </w:r>
      <w:r w:rsidR="008E6D0A">
        <w:rPr>
          <w:noProof/>
        </w:rPr>
        <w:fldChar w:fldCharType="begin"/>
      </w:r>
      <w:r w:rsidR="008E6D0A">
        <w:rPr>
          <w:noProof/>
        </w:rPr>
        <w:instrText xml:space="preserve"> PAGEREF _Toc508183526 \h </w:instrText>
      </w:r>
      <w:r w:rsidR="008E6D0A">
        <w:rPr>
          <w:noProof/>
        </w:rPr>
      </w:r>
      <w:r w:rsidR="008E6D0A">
        <w:rPr>
          <w:noProof/>
        </w:rPr>
        <w:fldChar w:fldCharType="separate"/>
      </w:r>
      <w:r w:rsidR="008E6D0A">
        <w:rPr>
          <w:noProof/>
        </w:rPr>
        <w:t>2</w:t>
      </w:r>
      <w:r w:rsidR="008E6D0A">
        <w:rPr>
          <w:noProof/>
        </w:rPr>
        <w:fldChar w:fldCharType="end"/>
      </w:r>
      <w:r w:rsidR="008E6D0A">
        <w:rPr>
          <w:noProof/>
        </w:rPr>
        <w:t>8</w:t>
      </w:r>
    </w:p>
    <w:p w14:paraId="5E4C1C97" w14:textId="249D71FA"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10.</w:t>
      </w:r>
      <w:r w:rsidRPr="00E71CE2">
        <w:rPr>
          <w:rFonts w:asciiTheme="minorHAnsi" w:eastAsiaTheme="minorEastAsia" w:hAnsiTheme="minorHAnsi" w:cstheme="minorBidi"/>
          <w:b w:val="0"/>
          <w:caps w:val="0"/>
          <w:noProof/>
          <w:szCs w:val="22"/>
          <w:lang w:eastAsia="en-US" w:bidi="ar-SA"/>
        </w:rPr>
        <w:tab/>
      </w:r>
      <w:r>
        <w:rPr>
          <w:noProof/>
        </w:rPr>
        <w:t>MANUSEIO DE DADOS E MANUTENÇÃO DE REGISTROS</w:t>
      </w:r>
      <w:r>
        <w:rPr>
          <w:noProof/>
        </w:rPr>
        <w:tab/>
      </w:r>
      <w:r w:rsidR="005428B0">
        <w:rPr>
          <w:noProof/>
        </w:rPr>
        <w:t>29</w:t>
      </w:r>
    </w:p>
    <w:p w14:paraId="28F1B049" w14:textId="472A374C"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11.</w:t>
      </w:r>
      <w:r w:rsidRPr="00E71CE2">
        <w:rPr>
          <w:rFonts w:asciiTheme="minorHAnsi" w:eastAsiaTheme="minorEastAsia" w:hAnsiTheme="minorHAnsi" w:cstheme="minorBidi"/>
          <w:b w:val="0"/>
          <w:caps w:val="0"/>
          <w:noProof/>
          <w:szCs w:val="22"/>
          <w:lang w:eastAsia="en-US" w:bidi="ar-SA"/>
        </w:rPr>
        <w:tab/>
      </w:r>
      <w:r>
        <w:rPr>
          <w:noProof/>
        </w:rPr>
        <w:t>PRODUTOS, DISPOSITIVOS E TÉCNICAS</w:t>
      </w:r>
      <w:r>
        <w:rPr>
          <w:noProof/>
        </w:rPr>
        <w:tab/>
      </w:r>
      <w:r w:rsidR="005428B0">
        <w:rPr>
          <w:noProof/>
        </w:rPr>
        <w:t>31</w:t>
      </w:r>
    </w:p>
    <w:p w14:paraId="5B04BBC8" w14:textId="39983048"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12.</w:t>
      </w:r>
      <w:r w:rsidRPr="00E71CE2">
        <w:rPr>
          <w:rFonts w:asciiTheme="minorHAnsi" w:eastAsiaTheme="minorEastAsia" w:hAnsiTheme="minorHAnsi" w:cstheme="minorBidi"/>
          <w:b w:val="0"/>
          <w:caps w:val="0"/>
          <w:noProof/>
          <w:szCs w:val="22"/>
          <w:lang w:eastAsia="en-US" w:bidi="ar-SA"/>
        </w:rPr>
        <w:tab/>
      </w:r>
      <w:r>
        <w:rPr>
          <w:noProof/>
        </w:rPr>
        <w:t>RELATÓRIO DE SEGURANÇA</w:t>
      </w:r>
      <w:r>
        <w:rPr>
          <w:noProof/>
        </w:rPr>
        <w:tab/>
      </w:r>
      <w:r w:rsidR="005428B0">
        <w:rPr>
          <w:noProof/>
        </w:rPr>
        <w:t>31</w:t>
      </w:r>
    </w:p>
    <w:p w14:paraId="5FA4CAA3" w14:textId="1E81138C"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13.</w:t>
      </w:r>
      <w:r w:rsidRPr="00E71CE2">
        <w:rPr>
          <w:rFonts w:asciiTheme="minorHAnsi" w:eastAsiaTheme="minorEastAsia" w:hAnsiTheme="minorHAnsi" w:cstheme="minorBidi"/>
          <w:b w:val="0"/>
          <w:caps w:val="0"/>
          <w:noProof/>
          <w:szCs w:val="22"/>
          <w:lang w:eastAsia="en-US" w:bidi="ar-SA"/>
        </w:rPr>
        <w:tab/>
      </w:r>
      <w:r>
        <w:rPr>
          <w:noProof/>
        </w:rPr>
        <w:t>MONITORAMENTO E AUDITORIA</w:t>
      </w:r>
      <w:r>
        <w:rPr>
          <w:noProof/>
        </w:rPr>
        <w:tab/>
      </w:r>
      <w:r w:rsidR="00FB5028">
        <w:rPr>
          <w:noProof/>
        </w:rPr>
        <w:t>33</w:t>
      </w:r>
    </w:p>
    <w:p w14:paraId="4FFEA708" w14:textId="58D7B015"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14.</w:t>
      </w:r>
      <w:r w:rsidRPr="00E71CE2">
        <w:rPr>
          <w:rFonts w:asciiTheme="minorHAnsi" w:eastAsiaTheme="minorEastAsia" w:hAnsiTheme="minorHAnsi" w:cstheme="minorBidi"/>
          <w:b w:val="0"/>
          <w:caps w:val="0"/>
          <w:noProof/>
          <w:szCs w:val="22"/>
          <w:lang w:eastAsia="en-US" w:bidi="ar-SA"/>
        </w:rPr>
        <w:tab/>
      </w:r>
      <w:r>
        <w:rPr>
          <w:noProof/>
        </w:rPr>
        <w:t xml:space="preserve">GERENCIAMENTO E COMITÊS DO </w:t>
      </w:r>
      <w:r w:rsidR="00E43DDD">
        <w:rPr>
          <w:noProof/>
        </w:rPr>
        <w:t>ESTUDO</w:t>
      </w:r>
      <w:r>
        <w:rPr>
          <w:noProof/>
        </w:rPr>
        <w:t xml:space="preserve"> CLÍNICO</w:t>
      </w:r>
      <w:r>
        <w:rPr>
          <w:noProof/>
        </w:rPr>
        <w:tab/>
      </w:r>
      <w:r w:rsidR="005428B0">
        <w:rPr>
          <w:noProof/>
        </w:rPr>
        <w:t>34</w:t>
      </w:r>
    </w:p>
    <w:p w14:paraId="775AB33F" w14:textId="658B07BE"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15.</w:t>
      </w:r>
      <w:r w:rsidRPr="00E71CE2">
        <w:rPr>
          <w:rFonts w:asciiTheme="minorHAnsi" w:eastAsiaTheme="minorEastAsia" w:hAnsiTheme="minorHAnsi" w:cstheme="minorBidi"/>
          <w:b w:val="0"/>
          <w:caps w:val="0"/>
          <w:noProof/>
          <w:szCs w:val="22"/>
          <w:lang w:eastAsia="en-US" w:bidi="ar-SA"/>
        </w:rPr>
        <w:tab/>
      </w:r>
      <w:r>
        <w:rPr>
          <w:noProof/>
        </w:rPr>
        <w:t>FINANÇAS E FINANCIAMENTO</w:t>
      </w:r>
      <w:r>
        <w:rPr>
          <w:noProof/>
        </w:rPr>
        <w:tab/>
      </w:r>
      <w:r w:rsidR="005428B0">
        <w:rPr>
          <w:noProof/>
        </w:rPr>
        <w:t>35</w:t>
      </w:r>
    </w:p>
    <w:p w14:paraId="6D9B73D1" w14:textId="21B4F65E"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16.</w:t>
      </w:r>
      <w:r w:rsidRPr="00E71CE2">
        <w:rPr>
          <w:rFonts w:asciiTheme="minorHAnsi" w:eastAsiaTheme="minorEastAsia" w:hAnsiTheme="minorHAnsi" w:cstheme="minorBidi"/>
          <w:b w:val="0"/>
          <w:caps w:val="0"/>
          <w:noProof/>
          <w:szCs w:val="22"/>
          <w:lang w:eastAsia="en-US" w:bidi="ar-SA"/>
        </w:rPr>
        <w:tab/>
      </w:r>
      <w:r>
        <w:rPr>
          <w:noProof/>
        </w:rPr>
        <w:t>PATROCÍNIO E RESPONSABILIDADE</w:t>
      </w:r>
      <w:r>
        <w:rPr>
          <w:noProof/>
        </w:rPr>
        <w:tab/>
      </w:r>
      <w:r w:rsidR="005428B0">
        <w:rPr>
          <w:noProof/>
        </w:rPr>
        <w:t>35</w:t>
      </w:r>
    </w:p>
    <w:p w14:paraId="7FB7038C" w14:textId="365C2EAB"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17.</w:t>
      </w:r>
      <w:r w:rsidRPr="00E71CE2">
        <w:rPr>
          <w:rFonts w:asciiTheme="minorHAnsi" w:eastAsiaTheme="minorEastAsia" w:hAnsiTheme="minorHAnsi" w:cstheme="minorBidi"/>
          <w:b w:val="0"/>
          <w:caps w:val="0"/>
          <w:noProof/>
          <w:szCs w:val="22"/>
          <w:lang w:eastAsia="en-US" w:bidi="ar-SA"/>
        </w:rPr>
        <w:tab/>
      </w:r>
      <w:r>
        <w:rPr>
          <w:noProof/>
        </w:rPr>
        <w:t>PUBLICAÇÃO</w:t>
      </w:r>
      <w:r>
        <w:rPr>
          <w:noProof/>
        </w:rPr>
        <w:tab/>
      </w:r>
      <w:r w:rsidR="005428B0">
        <w:rPr>
          <w:noProof/>
        </w:rPr>
        <w:t>35</w:t>
      </w:r>
    </w:p>
    <w:p w14:paraId="2B0FFDFC" w14:textId="09772AA5"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18. REFERÊNCIAS</w:t>
      </w:r>
      <w:r>
        <w:rPr>
          <w:noProof/>
        </w:rPr>
        <w:tab/>
      </w:r>
      <w:r w:rsidR="005428B0">
        <w:rPr>
          <w:noProof/>
        </w:rPr>
        <w:t>36</w:t>
      </w:r>
    </w:p>
    <w:p w14:paraId="1F8F6439" w14:textId="3BABAB39"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ANEXO 1: Definições</w:t>
      </w:r>
      <w:r>
        <w:rPr>
          <w:noProof/>
        </w:rPr>
        <w:tab/>
      </w:r>
      <w:r w:rsidR="005428B0">
        <w:rPr>
          <w:noProof/>
        </w:rPr>
        <w:t>38</w:t>
      </w:r>
    </w:p>
    <w:p w14:paraId="5B04909C" w14:textId="5FC908FF"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lastRenderedPageBreak/>
        <w:t>1. Complicações pós-operatórias (24)</w:t>
      </w:r>
      <w:r>
        <w:rPr>
          <w:noProof/>
        </w:rPr>
        <w:tab/>
      </w:r>
      <w:r w:rsidR="0085552D">
        <w:rPr>
          <w:noProof/>
        </w:rPr>
        <w:t>38</w:t>
      </w:r>
    </w:p>
    <w:p w14:paraId="592C8976" w14:textId="5B337DC4"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1. Tratamento imunossupressor pré-operatório</w:t>
      </w:r>
      <w:r>
        <w:rPr>
          <w:noProof/>
        </w:rPr>
        <w:tab/>
      </w:r>
      <w:r w:rsidR="00E7137D">
        <w:rPr>
          <w:noProof/>
        </w:rPr>
        <w:t>45</w:t>
      </w:r>
    </w:p>
    <w:p w14:paraId="1CA25713" w14:textId="1F7492F7" w:rsidR="00265104" w:rsidRPr="00E71CE2" w:rsidRDefault="00265104">
      <w:pPr>
        <w:pStyle w:val="TOC1"/>
        <w:rPr>
          <w:rFonts w:asciiTheme="minorHAnsi" w:eastAsiaTheme="minorEastAsia" w:hAnsiTheme="minorHAnsi" w:cstheme="minorBidi"/>
          <w:b w:val="0"/>
          <w:caps w:val="0"/>
          <w:noProof/>
          <w:szCs w:val="22"/>
          <w:lang w:eastAsia="en-US" w:bidi="ar-SA"/>
        </w:rPr>
      </w:pPr>
      <w:r>
        <w:rPr>
          <w:noProof/>
        </w:rPr>
        <w:t>2. Nível de cuidados após a cirurgia</w:t>
      </w:r>
      <w:r>
        <w:rPr>
          <w:noProof/>
        </w:rPr>
        <w:tab/>
      </w:r>
      <w:r w:rsidR="00E7137D">
        <w:rPr>
          <w:noProof/>
        </w:rPr>
        <w:t>45</w:t>
      </w:r>
    </w:p>
    <w:p w14:paraId="1AF33A43" w14:textId="77777777" w:rsidR="00F91D5E" w:rsidRDefault="00966C85">
      <w:pPr>
        <w:pStyle w:val="TOC1"/>
        <w:rPr>
          <w:rFonts w:asciiTheme="minorHAnsi" w:eastAsiaTheme="minorEastAsia" w:hAnsiTheme="minorHAnsi" w:cstheme="minorBidi"/>
          <w:b w:val="0"/>
          <w:caps w:val="0"/>
          <w:noProof/>
          <w:szCs w:val="22"/>
        </w:rPr>
      </w:pPr>
      <w:r w:rsidRPr="002C736D">
        <w:rPr>
          <w:rFonts w:cs="Arial"/>
          <w:szCs w:val="22"/>
        </w:rPr>
        <w:fldChar w:fldCharType="end"/>
      </w:r>
      <w:bookmarkStart w:id="1" w:name="_Toc331159139"/>
      <w:r w:rsidR="00900887">
        <w:br w:type="page"/>
      </w:r>
    </w:p>
    <w:p w14:paraId="000EE553" w14:textId="77777777" w:rsidR="001535CD" w:rsidRPr="00BA6ABF" w:rsidRDefault="001535CD" w:rsidP="005239E5">
      <w:pPr>
        <w:pStyle w:val="Heading1"/>
        <w:spacing w:before="0" w:after="0"/>
        <w:ind w:left="0" w:firstLine="0"/>
        <w:contextualSpacing/>
        <w:rPr>
          <w:rFonts w:cs="Arial"/>
          <w:caps/>
          <w:szCs w:val="22"/>
        </w:rPr>
      </w:pPr>
      <w:bookmarkStart w:id="2" w:name="_Toc466030497"/>
      <w:bookmarkStart w:id="3" w:name="_Toc508183518"/>
      <w:r>
        <w:lastRenderedPageBreak/>
        <w:t xml:space="preserve">1. </w:t>
      </w:r>
      <w:r>
        <w:tab/>
        <w:t xml:space="preserve">GLOSSÁRIO </w:t>
      </w:r>
      <w:bookmarkEnd w:id="1"/>
      <w:r>
        <w:t>DE ABREVIATURAS E DEFINIÇÃO DE TERMOS</w:t>
      </w:r>
      <w:bookmarkEnd w:id="2"/>
      <w:bookmarkEnd w:id="3"/>
    </w:p>
    <w:p w14:paraId="5680517B" w14:textId="782B280C" w:rsidR="001535CD" w:rsidRPr="00E63DC2" w:rsidRDefault="001535CD" w:rsidP="005239E5">
      <w:pPr>
        <w:contextualSpacing/>
        <w:rPr>
          <w:rFonts w:cs="Arial"/>
          <w:szCs w:val="22"/>
        </w:rPr>
      </w:pPr>
      <w:r>
        <w:t>EA</w:t>
      </w:r>
      <w:r>
        <w:tab/>
      </w:r>
      <w:r w:rsidR="00265104">
        <w:tab/>
      </w:r>
      <w:r>
        <w:t>Evento adverso</w:t>
      </w:r>
    </w:p>
    <w:p w14:paraId="13C2BB99" w14:textId="2AAC3ACA" w:rsidR="00FC3C54" w:rsidRDefault="001535CD" w:rsidP="00D91233">
      <w:pPr>
        <w:ind w:left="1440" w:hanging="1440"/>
        <w:contextualSpacing/>
        <w:rPr>
          <w:rFonts w:cs="Arial"/>
          <w:szCs w:val="22"/>
        </w:rPr>
      </w:pPr>
      <w:r>
        <w:t>ASA</w:t>
      </w:r>
      <w:r>
        <w:tab/>
      </w:r>
      <w:r w:rsidR="00966C85" w:rsidRPr="00D91233">
        <w:rPr>
          <w:i/>
        </w:rPr>
        <w:t>American Society of Anesthesiologists</w:t>
      </w:r>
      <w:r>
        <w:t xml:space="preserve"> (Sociedade Americana de Anestesistas)</w:t>
      </w:r>
    </w:p>
    <w:p w14:paraId="30A38A84" w14:textId="2C58168D" w:rsidR="00FC3C54" w:rsidRDefault="007A31C6" w:rsidP="00D91233">
      <w:pPr>
        <w:ind w:left="1440" w:hanging="1440"/>
        <w:contextualSpacing/>
        <w:rPr>
          <w:szCs w:val="22"/>
        </w:rPr>
      </w:pPr>
      <w:r>
        <w:t>CEAC</w:t>
      </w:r>
      <w:r>
        <w:tab/>
      </w:r>
      <w:r w:rsidR="00966C85" w:rsidRPr="00D91233">
        <w:rPr>
          <w:rFonts w:cs="Arial"/>
          <w:i/>
          <w:szCs w:val="22"/>
        </w:rPr>
        <w:t>Cost-Effectiveness Acceptability Curve</w:t>
      </w:r>
      <w:r w:rsidR="00DA50D0">
        <w:t xml:space="preserve"> (</w:t>
      </w:r>
      <w:r>
        <w:t>Curva de aceitabilidade da relação de custo-efetividade</w:t>
      </w:r>
      <w:r w:rsidR="00DA50D0">
        <w:t>)</w:t>
      </w:r>
    </w:p>
    <w:p w14:paraId="0D05AAB2" w14:textId="77777777" w:rsidR="001535CD" w:rsidRPr="00E63DC2" w:rsidRDefault="001535CD" w:rsidP="005239E5">
      <w:pPr>
        <w:contextualSpacing/>
        <w:rPr>
          <w:szCs w:val="22"/>
        </w:rPr>
      </w:pPr>
      <w:r>
        <w:t>IC</w:t>
      </w:r>
      <w:r>
        <w:tab/>
      </w:r>
      <w:r w:rsidR="00265104">
        <w:tab/>
      </w:r>
      <w:r>
        <w:t>Investigador-chefe</w:t>
      </w:r>
    </w:p>
    <w:p w14:paraId="2D721FBE" w14:textId="77777777" w:rsidR="001535CD" w:rsidRPr="00F579BC" w:rsidRDefault="00544CBF" w:rsidP="005239E5">
      <w:pPr>
        <w:contextualSpacing/>
        <w:rPr>
          <w:rFonts w:cs="Arial"/>
          <w:szCs w:val="22"/>
        </w:rPr>
      </w:pPr>
      <w:r w:rsidRPr="00F579BC">
        <w:t>CRF</w:t>
      </w:r>
      <w:r w:rsidRPr="00F579BC">
        <w:tab/>
      </w:r>
      <w:r w:rsidRPr="00F579BC">
        <w:tab/>
      </w:r>
      <w:r w:rsidR="00966C85" w:rsidRPr="00D91233">
        <w:rPr>
          <w:rFonts w:cs="Arial"/>
          <w:i/>
          <w:szCs w:val="22"/>
        </w:rPr>
        <w:t>Case Report Form</w:t>
      </w:r>
      <w:r w:rsidRPr="00F579BC">
        <w:t xml:space="preserve"> (</w:t>
      </w:r>
      <w:r w:rsidR="001D43E7">
        <w:t>Ficha clínica)</w:t>
      </w:r>
    </w:p>
    <w:p w14:paraId="0E3894E4" w14:textId="77777777" w:rsidR="005815C2" w:rsidRDefault="005815C2" w:rsidP="005239E5">
      <w:pPr>
        <w:contextualSpacing/>
        <w:rPr>
          <w:rFonts w:cs="Arial"/>
          <w:szCs w:val="22"/>
        </w:rPr>
      </w:pPr>
      <w:r>
        <w:t>TC</w:t>
      </w:r>
      <w:r>
        <w:tab/>
      </w:r>
      <w:r w:rsidR="00265104">
        <w:tab/>
      </w:r>
      <w:r>
        <w:t>Tomografia computadorizada</w:t>
      </w:r>
    </w:p>
    <w:p w14:paraId="2BB4B2A4" w14:textId="77777777" w:rsidR="001535CD" w:rsidRDefault="001535CD" w:rsidP="005239E5">
      <w:pPr>
        <w:contextualSpacing/>
        <w:rPr>
          <w:rFonts w:cs="Arial"/>
          <w:szCs w:val="22"/>
        </w:rPr>
      </w:pPr>
      <w:r>
        <w:t>CEMD</w:t>
      </w:r>
      <w:r>
        <w:tab/>
      </w:r>
      <w:r w:rsidR="00265104">
        <w:tab/>
      </w:r>
      <w:r>
        <w:t>Comitê de Ética e Monitoramento de Dados</w:t>
      </w:r>
    </w:p>
    <w:p w14:paraId="4E35FFD0" w14:textId="4A65D76B" w:rsidR="001535CD" w:rsidRDefault="00265104" w:rsidP="00073F06">
      <w:pPr>
        <w:ind w:left="1418" w:hanging="1418"/>
        <w:contextualSpacing/>
        <w:rPr>
          <w:rFonts w:cs="Arial"/>
          <w:szCs w:val="22"/>
        </w:rPr>
      </w:pPr>
      <w:r>
        <w:t>EQ-5D</w:t>
      </w:r>
      <w:r w:rsidR="00073F06">
        <w:tab/>
      </w:r>
      <w:r w:rsidR="001535CD">
        <w:t>Escala de qualidade de vida EuroQol-5 EQ-5D-3L</w:t>
      </w:r>
    </w:p>
    <w:p w14:paraId="08A3BE49" w14:textId="4006068D" w:rsidR="001535CD" w:rsidRDefault="00265104" w:rsidP="00073F06">
      <w:pPr>
        <w:ind w:left="1418" w:hanging="1418"/>
        <w:contextualSpacing/>
        <w:rPr>
          <w:rFonts w:cs="Arial"/>
          <w:szCs w:val="22"/>
        </w:rPr>
      </w:pPr>
      <w:r>
        <w:t>BPC</w:t>
      </w:r>
      <w:r w:rsidR="00073F06">
        <w:tab/>
      </w:r>
      <w:r w:rsidR="001535CD">
        <w:t>Boas Práticas Clínicas</w:t>
      </w:r>
    </w:p>
    <w:p w14:paraId="0CC7A355" w14:textId="42363187" w:rsidR="003D2151" w:rsidRDefault="00265104" w:rsidP="00265104">
      <w:pPr>
        <w:ind w:left="1418" w:hanging="1418"/>
        <w:contextualSpacing/>
        <w:rPr>
          <w:rFonts w:cs="Arial"/>
          <w:szCs w:val="22"/>
        </w:rPr>
      </w:pPr>
      <w:r>
        <w:t>HES</w:t>
      </w:r>
      <w:r w:rsidR="00073F06">
        <w:tab/>
      </w:r>
      <w:r w:rsidR="00966C85" w:rsidRPr="00D91233">
        <w:rPr>
          <w:i/>
        </w:rPr>
        <w:t>Hospital Episode Statistics</w:t>
      </w:r>
      <w:r w:rsidR="003D2151">
        <w:t xml:space="preserve"> (Ba</w:t>
      </w:r>
      <w:r>
        <w:t xml:space="preserve">nco de dados de estatísticas de </w:t>
      </w:r>
      <w:r w:rsidR="003D2151">
        <w:t>episódios hospitalares do HSS)</w:t>
      </w:r>
    </w:p>
    <w:p w14:paraId="61D198D1" w14:textId="6EB05814" w:rsidR="007A31C6" w:rsidRPr="00C10325" w:rsidRDefault="00265104" w:rsidP="00073F06">
      <w:pPr>
        <w:ind w:left="1418" w:hanging="1418"/>
        <w:contextualSpacing/>
        <w:rPr>
          <w:rFonts w:cs="Arial"/>
          <w:szCs w:val="22"/>
        </w:rPr>
      </w:pPr>
      <w:r>
        <w:t>ICER</w:t>
      </w:r>
      <w:r w:rsidR="00073F06">
        <w:tab/>
      </w:r>
      <w:r w:rsidR="00E97D5D">
        <w:rPr>
          <w:rFonts w:cs="Arial"/>
          <w:i/>
          <w:szCs w:val="22"/>
        </w:rPr>
        <w:t>Incremental Cost-</w:t>
      </w:r>
      <w:r w:rsidR="00E97D5D" w:rsidRPr="006D7F2E">
        <w:rPr>
          <w:rFonts w:cs="Arial"/>
          <w:i/>
          <w:szCs w:val="22"/>
        </w:rPr>
        <w:t>Effectiveness Ratio</w:t>
      </w:r>
      <w:r w:rsidR="00E97D5D">
        <w:t xml:space="preserve"> (</w:t>
      </w:r>
      <w:r w:rsidR="007A31C6">
        <w:t>Razão incremental de custo-efetividade</w:t>
      </w:r>
      <w:r w:rsidR="006D7F2E">
        <w:t>)</w:t>
      </w:r>
    </w:p>
    <w:p w14:paraId="04EFBD8A" w14:textId="7E2FEFD2" w:rsidR="00073F06" w:rsidRDefault="001535CD" w:rsidP="005239E5">
      <w:pPr>
        <w:contextualSpacing/>
      </w:pPr>
      <w:r>
        <w:t>UTI</w:t>
      </w:r>
      <w:r>
        <w:tab/>
      </w:r>
      <w:r w:rsidR="00800730">
        <w:tab/>
      </w:r>
      <w:r>
        <w:t>Unidade de terapia intensiva</w:t>
      </w:r>
    </w:p>
    <w:p w14:paraId="40E078D2" w14:textId="5DAE2130" w:rsidR="003B0A0B" w:rsidRDefault="001535CD" w:rsidP="005239E5">
      <w:pPr>
        <w:contextualSpacing/>
        <w:rPr>
          <w:rFonts w:cs="Arial"/>
          <w:szCs w:val="22"/>
        </w:rPr>
      </w:pPr>
      <w:r>
        <w:t>IV</w:t>
      </w:r>
      <w:r>
        <w:tab/>
      </w:r>
      <w:r w:rsidR="00800730">
        <w:tab/>
      </w:r>
      <w:r>
        <w:t>Via intravenosa</w:t>
      </w:r>
    </w:p>
    <w:p w14:paraId="7E87E388" w14:textId="2A8B8A20" w:rsidR="001535CD" w:rsidRDefault="001535CD" w:rsidP="00265104">
      <w:pPr>
        <w:ind w:left="1395" w:hanging="1395"/>
        <w:contextualSpacing/>
        <w:rPr>
          <w:rFonts w:cs="Arial"/>
          <w:szCs w:val="22"/>
        </w:rPr>
      </w:pPr>
      <w:r>
        <w:t>JRMO</w:t>
      </w:r>
      <w:r>
        <w:tab/>
      </w:r>
      <w:r w:rsidR="00966C85" w:rsidRPr="00D91233">
        <w:rPr>
          <w:i/>
        </w:rPr>
        <w:t>Joint Research Management Office</w:t>
      </w:r>
      <w:r>
        <w:t xml:space="preserve"> (Gabinete de gestão conjunta da investigação)</w:t>
      </w:r>
    </w:p>
    <w:p w14:paraId="3E30D10B" w14:textId="77777777" w:rsidR="00FC3C54" w:rsidRDefault="001535CD" w:rsidP="00D91233">
      <w:pPr>
        <w:ind w:left="1395" w:hanging="1395"/>
        <w:contextualSpacing/>
        <w:rPr>
          <w:rFonts w:cs="Arial"/>
          <w:szCs w:val="22"/>
        </w:rPr>
      </w:pPr>
      <w:r>
        <w:t>NHS REC</w:t>
      </w:r>
      <w:r>
        <w:tab/>
      </w:r>
      <w:r w:rsidR="00581B9D" w:rsidRPr="00E069DC">
        <w:rPr>
          <w:i/>
        </w:rPr>
        <w:t>National Health Service Reserch Ethics Committee</w:t>
      </w:r>
      <w:r w:rsidR="00581B9D">
        <w:t xml:space="preserve"> (</w:t>
      </w:r>
      <w:r>
        <w:t xml:space="preserve">Comitê de Ética em Pesquisa do </w:t>
      </w:r>
      <w:r w:rsidR="00581B9D" w:rsidRPr="00FA77A4">
        <w:t>Sistema Nacional de Saúde do Reino Unido</w:t>
      </w:r>
      <w:r w:rsidR="00581B9D">
        <w:t>)</w:t>
      </w:r>
    </w:p>
    <w:p w14:paraId="71D0578E" w14:textId="463EAE4A" w:rsidR="00FC3C54" w:rsidRDefault="001535CD" w:rsidP="00D91233">
      <w:pPr>
        <w:ind w:left="1395" w:hanging="1395"/>
        <w:contextualSpacing/>
        <w:rPr>
          <w:rFonts w:cs="Arial"/>
          <w:szCs w:val="22"/>
        </w:rPr>
      </w:pPr>
      <w:r>
        <w:t>NHS R&amp;D</w:t>
      </w:r>
      <w:r>
        <w:tab/>
      </w:r>
      <w:r w:rsidR="00966C85" w:rsidRPr="00D91233">
        <w:rPr>
          <w:i/>
        </w:rPr>
        <w:t xml:space="preserve">National Health Service Research </w:t>
      </w:r>
      <w:r w:rsidR="004D4937">
        <w:rPr>
          <w:i/>
        </w:rPr>
        <w:t>&amp;</w:t>
      </w:r>
      <w:r w:rsidR="00966C85" w:rsidRPr="00D91233">
        <w:rPr>
          <w:i/>
        </w:rPr>
        <w:t xml:space="preserve"> Development</w:t>
      </w:r>
      <w:r w:rsidR="00581B9D">
        <w:t xml:space="preserve"> (</w:t>
      </w:r>
      <w:r>
        <w:t xml:space="preserve">Pesquisa e Desenvolvimento do </w:t>
      </w:r>
      <w:r w:rsidR="00611679" w:rsidRPr="00FA77A4">
        <w:t>Sistema Nacional de Saúde do Reino Unido</w:t>
      </w:r>
      <w:r w:rsidR="00B86EAB">
        <w:t>)</w:t>
      </w:r>
    </w:p>
    <w:p w14:paraId="60BBC424" w14:textId="5D73E145" w:rsidR="007A31C6" w:rsidRDefault="007A31C6" w:rsidP="00C6254B">
      <w:pPr>
        <w:ind w:left="1418" w:hanging="1418"/>
        <w:contextualSpacing/>
        <w:rPr>
          <w:rFonts w:cs="Arial"/>
          <w:szCs w:val="22"/>
        </w:rPr>
      </w:pPr>
      <w:r>
        <w:t>NICE</w:t>
      </w:r>
      <w:r>
        <w:tab/>
      </w:r>
      <w:r w:rsidR="00966C85" w:rsidRPr="00D91233">
        <w:rPr>
          <w:i/>
        </w:rPr>
        <w:t>National Institute for Health and Care Excellence</w:t>
      </w:r>
      <w:r>
        <w:t xml:space="preserve"> (Instituto Nacional</w:t>
      </w:r>
      <w:r w:rsidR="00B4104B">
        <w:t xml:space="preserve"> </w:t>
      </w:r>
      <w:r>
        <w:t>de Saúde e Excelência Clínica)</w:t>
      </w:r>
    </w:p>
    <w:p w14:paraId="1E60861A" w14:textId="77777777" w:rsidR="003D2151" w:rsidRDefault="003D2151" w:rsidP="005239E5">
      <w:pPr>
        <w:contextualSpacing/>
        <w:rPr>
          <w:rFonts w:cs="Arial"/>
          <w:szCs w:val="22"/>
        </w:rPr>
      </w:pPr>
      <w:r>
        <w:t>ONS</w:t>
      </w:r>
      <w:r>
        <w:tab/>
      </w:r>
      <w:r w:rsidR="00265104">
        <w:tab/>
      </w:r>
      <w:r w:rsidR="00966C85" w:rsidRPr="00D91233">
        <w:rPr>
          <w:i/>
        </w:rPr>
        <w:t>Office of National Statistics</w:t>
      </w:r>
      <w:r>
        <w:t xml:space="preserve"> (Instituto Nacional de Estatística)</w:t>
      </w:r>
    </w:p>
    <w:p w14:paraId="780551EF" w14:textId="77777777" w:rsidR="001535CD" w:rsidRPr="00C10325" w:rsidRDefault="001535CD" w:rsidP="005239E5">
      <w:pPr>
        <w:contextualSpacing/>
        <w:rPr>
          <w:rFonts w:cs="Arial"/>
          <w:szCs w:val="22"/>
        </w:rPr>
      </w:pPr>
      <w:r>
        <w:t>OR</w:t>
      </w:r>
      <w:r>
        <w:tab/>
      </w:r>
      <w:r w:rsidR="00265104">
        <w:tab/>
      </w:r>
      <w:r w:rsidR="00966C85" w:rsidRPr="00D91233">
        <w:rPr>
          <w:i/>
        </w:rPr>
        <w:t>Odds Ratio</w:t>
      </w:r>
      <w:r w:rsidR="007A1304">
        <w:t xml:space="preserve"> (</w:t>
      </w:r>
      <w:r>
        <w:t>Razão de chances</w:t>
      </w:r>
      <w:r w:rsidR="007A1304">
        <w:t>)</w:t>
      </w:r>
    </w:p>
    <w:p w14:paraId="7F252A64" w14:textId="77777777" w:rsidR="001535CD" w:rsidRDefault="001535CD" w:rsidP="005239E5">
      <w:pPr>
        <w:contextualSpacing/>
        <w:rPr>
          <w:rFonts w:cs="Arial"/>
          <w:szCs w:val="22"/>
        </w:rPr>
      </w:pPr>
      <w:r>
        <w:t>Participante</w:t>
      </w:r>
      <w:r>
        <w:tab/>
        <w:t xml:space="preserve">Um indivíduo que participa de um </w:t>
      </w:r>
      <w:r w:rsidR="00E43DDD">
        <w:t>estudo</w:t>
      </w:r>
      <w:r>
        <w:t xml:space="preserve"> clínico</w:t>
      </w:r>
    </w:p>
    <w:p w14:paraId="4FD8462C" w14:textId="77777777" w:rsidR="00FC3C54" w:rsidRDefault="001535CD" w:rsidP="00D91233">
      <w:pPr>
        <w:ind w:left="1440" w:hanging="1440"/>
        <w:contextualSpacing/>
        <w:rPr>
          <w:rFonts w:cs="Arial"/>
          <w:szCs w:val="22"/>
        </w:rPr>
      </w:pPr>
      <w:r>
        <w:t>PCTU</w:t>
      </w:r>
      <w:r>
        <w:tab/>
      </w:r>
      <w:r w:rsidR="00966C85" w:rsidRPr="00D91233">
        <w:rPr>
          <w:i/>
        </w:rPr>
        <w:t>Pragmatic Clinical Trials Unit</w:t>
      </w:r>
      <w:r>
        <w:t xml:space="preserve"> (Grupo de </w:t>
      </w:r>
      <w:r w:rsidR="00E43DDD">
        <w:t>estudo</w:t>
      </w:r>
      <w:r>
        <w:t>s clínicos pragmáticos)</w:t>
      </w:r>
    </w:p>
    <w:p w14:paraId="3708EBF6" w14:textId="5B1E3BBD" w:rsidR="001535CD" w:rsidRDefault="001535CD" w:rsidP="005239E5">
      <w:pPr>
        <w:contextualSpacing/>
        <w:rPr>
          <w:rFonts w:cs="Arial"/>
          <w:szCs w:val="22"/>
        </w:rPr>
      </w:pPr>
      <w:r>
        <w:t>IP</w:t>
      </w:r>
      <w:r>
        <w:tab/>
      </w:r>
      <w:r w:rsidR="00265104">
        <w:tab/>
      </w:r>
      <w:r>
        <w:t>Investigador principal</w:t>
      </w:r>
    </w:p>
    <w:p w14:paraId="6C511E5F" w14:textId="31E69B80" w:rsidR="001535CD" w:rsidRDefault="001535CD" w:rsidP="005239E5">
      <w:pPr>
        <w:contextualSpacing/>
        <w:rPr>
          <w:rFonts w:cs="Arial"/>
          <w:szCs w:val="22"/>
        </w:rPr>
      </w:pPr>
      <w:r>
        <w:t>FIP</w:t>
      </w:r>
      <w:r>
        <w:tab/>
      </w:r>
      <w:r w:rsidR="00265104">
        <w:tab/>
      </w:r>
      <w:r>
        <w:t>Folheto informativo para o participante</w:t>
      </w:r>
    </w:p>
    <w:p w14:paraId="7F0712D3" w14:textId="77777777" w:rsidR="001535CD" w:rsidRDefault="001535CD" w:rsidP="005239E5">
      <w:pPr>
        <w:contextualSpacing/>
        <w:rPr>
          <w:rFonts w:cs="Arial"/>
          <w:szCs w:val="22"/>
        </w:rPr>
      </w:pPr>
      <w:r>
        <w:t>QA</w:t>
      </w:r>
      <w:r>
        <w:tab/>
      </w:r>
      <w:r w:rsidR="00265104">
        <w:tab/>
      </w:r>
      <w:r w:rsidR="00966C85" w:rsidRPr="00D91233">
        <w:rPr>
          <w:i/>
        </w:rPr>
        <w:t>Quality Assurance</w:t>
      </w:r>
      <w:r w:rsidR="004D4937">
        <w:t xml:space="preserve"> (</w:t>
      </w:r>
      <w:r>
        <w:t>Garantia de qualidade</w:t>
      </w:r>
      <w:r w:rsidR="004D4937">
        <w:t>)</w:t>
      </w:r>
    </w:p>
    <w:p w14:paraId="4D6A33A5" w14:textId="76E84F2B" w:rsidR="00FC3C54" w:rsidRDefault="001535CD" w:rsidP="00D91233">
      <w:pPr>
        <w:ind w:left="1440" w:hanging="1440"/>
        <w:contextualSpacing/>
        <w:rPr>
          <w:rFonts w:cs="Arial"/>
          <w:szCs w:val="22"/>
        </w:rPr>
      </w:pPr>
      <w:r>
        <w:t>QALY</w:t>
      </w:r>
      <w:r>
        <w:tab/>
      </w:r>
      <w:r w:rsidR="00966C85" w:rsidRPr="00D91233">
        <w:rPr>
          <w:rFonts w:cs="Arial"/>
          <w:i/>
          <w:szCs w:val="22"/>
        </w:rPr>
        <w:t>Quality Adjusted Life Years</w:t>
      </w:r>
      <w:r w:rsidR="00A24DAB">
        <w:t xml:space="preserve"> (</w:t>
      </w:r>
      <w:r>
        <w:t>Anos de vida ajustados por qualidade de vida</w:t>
      </w:r>
      <w:r w:rsidR="00A24DAB">
        <w:t>)</w:t>
      </w:r>
    </w:p>
    <w:p w14:paraId="7E4C18AE" w14:textId="77777777" w:rsidR="001535CD" w:rsidRPr="00C10325" w:rsidRDefault="001535CD" w:rsidP="005239E5">
      <w:pPr>
        <w:contextualSpacing/>
        <w:rPr>
          <w:rFonts w:cs="Arial"/>
          <w:szCs w:val="22"/>
        </w:rPr>
      </w:pPr>
      <w:r>
        <w:t>QC</w:t>
      </w:r>
      <w:r>
        <w:tab/>
      </w:r>
      <w:r w:rsidR="00265104">
        <w:tab/>
      </w:r>
      <w:r w:rsidR="00966C85" w:rsidRPr="00D91233">
        <w:rPr>
          <w:rFonts w:cs="Arial"/>
          <w:i/>
          <w:szCs w:val="22"/>
        </w:rPr>
        <w:t>Quality Control</w:t>
      </w:r>
      <w:r w:rsidR="00E71C9B">
        <w:t xml:space="preserve"> (</w:t>
      </w:r>
      <w:r>
        <w:t>Controle de qualidade</w:t>
      </w:r>
      <w:r w:rsidR="00E71C9B">
        <w:t>)</w:t>
      </w:r>
    </w:p>
    <w:p w14:paraId="485BBFF3" w14:textId="77777777" w:rsidR="001535CD" w:rsidRPr="00C10325" w:rsidRDefault="001535CD" w:rsidP="005239E5">
      <w:pPr>
        <w:contextualSpacing/>
        <w:rPr>
          <w:rFonts w:cs="Arial"/>
          <w:szCs w:val="22"/>
        </w:rPr>
      </w:pPr>
      <w:r>
        <w:t>ERC</w:t>
      </w:r>
      <w:r>
        <w:tab/>
      </w:r>
      <w:r w:rsidR="00265104">
        <w:tab/>
      </w:r>
      <w:r w:rsidR="00E43DDD">
        <w:t>Estudo</w:t>
      </w:r>
      <w:r>
        <w:t xml:space="preserve"> randomizado controlado</w:t>
      </w:r>
    </w:p>
    <w:p w14:paraId="02DFA71F" w14:textId="49322460" w:rsidR="001535CD" w:rsidRPr="00C10325" w:rsidRDefault="001535CD" w:rsidP="005239E5">
      <w:pPr>
        <w:contextualSpacing/>
        <w:rPr>
          <w:rFonts w:cs="Arial"/>
          <w:szCs w:val="22"/>
        </w:rPr>
      </w:pPr>
      <w:r>
        <w:lastRenderedPageBreak/>
        <w:t>CEP</w:t>
      </w:r>
      <w:r>
        <w:tab/>
      </w:r>
      <w:r w:rsidR="00265104">
        <w:tab/>
      </w:r>
      <w:r>
        <w:t>Comitê de Ética em Pesquisa</w:t>
      </w:r>
    </w:p>
    <w:p w14:paraId="591AFB92" w14:textId="77777777" w:rsidR="001535CD" w:rsidRPr="00C10325" w:rsidRDefault="001535CD" w:rsidP="005239E5">
      <w:pPr>
        <w:contextualSpacing/>
        <w:rPr>
          <w:rFonts w:cs="Arial"/>
          <w:szCs w:val="22"/>
        </w:rPr>
      </w:pPr>
      <w:r>
        <w:t>EAG</w:t>
      </w:r>
      <w:r>
        <w:tab/>
      </w:r>
      <w:r w:rsidR="00265104">
        <w:tab/>
      </w:r>
      <w:r>
        <w:t>Evento adverso grave</w:t>
      </w:r>
    </w:p>
    <w:p w14:paraId="7B31E96D" w14:textId="77777777" w:rsidR="001535CD" w:rsidRPr="00C10325" w:rsidRDefault="001535CD" w:rsidP="005239E5">
      <w:pPr>
        <w:contextualSpacing/>
        <w:rPr>
          <w:rFonts w:cs="Arial"/>
          <w:szCs w:val="22"/>
        </w:rPr>
      </w:pPr>
      <w:r>
        <w:t>SDV</w:t>
      </w:r>
      <w:r>
        <w:tab/>
      </w:r>
      <w:r w:rsidR="00265104">
        <w:tab/>
      </w:r>
      <w:r w:rsidR="00966C85" w:rsidRPr="00D91233">
        <w:rPr>
          <w:rFonts w:cs="Arial"/>
          <w:i/>
          <w:szCs w:val="22"/>
        </w:rPr>
        <w:t>Source Data Verification</w:t>
      </w:r>
      <w:r w:rsidR="005E731B">
        <w:t xml:space="preserve"> (</w:t>
      </w:r>
      <w:r>
        <w:t>Verificação dos dados de origem</w:t>
      </w:r>
      <w:r w:rsidR="005E731B">
        <w:t>)</w:t>
      </w:r>
    </w:p>
    <w:p w14:paraId="44D50630" w14:textId="23AA452D" w:rsidR="001535CD" w:rsidRDefault="001535CD" w:rsidP="005239E5">
      <w:pPr>
        <w:contextualSpacing/>
        <w:rPr>
          <w:rFonts w:cs="Arial"/>
          <w:szCs w:val="22"/>
        </w:rPr>
      </w:pPr>
      <w:r>
        <w:t>SOP</w:t>
      </w:r>
      <w:r>
        <w:tab/>
      </w:r>
      <w:r w:rsidR="00265104">
        <w:tab/>
      </w:r>
      <w:r w:rsidR="00966C85" w:rsidRPr="00D91233">
        <w:rPr>
          <w:rFonts w:cs="Arial"/>
          <w:i/>
          <w:szCs w:val="22"/>
        </w:rPr>
        <w:t>Standard Operating Procedure</w:t>
      </w:r>
      <w:r w:rsidR="005E731B">
        <w:t xml:space="preserve"> (</w:t>
      </w:r>
      <w:r>
        <w:t>Procedimento operacional padrão</w:t>
      </w:r>
      <w:r w:rsidR="005E731B">
        <w:t>)</w:t>
      </w:r>
    </w:p>
    <w:p w14:paraId="3B5B4890" w14:textId="77777777" w:rsidR="001535CD" w:rsidRPr="00C10325" w:rsidRDefault="001535CD" w:rsidP="005239E5">
      <w:pPr>
        <w:contextualSpacing/>
        <w:rPr>
          <w:rFonts w:cs="Arial"/>
          <w:szCs w:val="22"/>
        </w:rPr>
      </w:pPr>
      <w:r>
        <w:t>ISC</w:t>
      </w:r>
      <w:r>
        <w:tab/>
      </w:r>
      <w:r w:rsidR="00265104">
        <w:tab/>
      </w:r>
      <w:r>
        <w:t>Infecção do sítio cirúrgico</w:t>
      </w:r>
    </w:p>
    <w:p w14:paraId="37FB9015" w14:textId="77777777" w:rsidR="001535CD" w:rsidRPr="00C10325" w:rsidRDefault="001535CD" w:rsidP="005239E5">
      <w:pPr>
        <w:contextualSpacing/>
        <w:rPr>
          <w:rFonts w:cs="Arial"/>
          <w:szCs w:val="22"/>
        </w:rPr>
      </w:pPr>
      <w:r>
        <w:t>AEC</w:t>
      </w:r>
      <w:r>
        <w:tab/>
      </w:r>
      <w:r w:rsidR="00265104">
        <w:tab/>
      </w:r>
      <w:r>
        <w:t>Avaliação específica do centro do estudo</w:t>
      </w:r>
    </w:p>
    <w:p w14:paraId="48D35251" w14:textId="77777777" w:rsidR="001535CD" w:rsidRPr="00C10325" w:rsidRDefault="001535CD" w:rsidP="005239E5">
      <w:pPr>
        <w:contextualSpacing/>
        <w:rPr>
          <w:rFonts w:cs="Arial"/>
          <w:szCs w:val="22"/>
        </w:rPr>
      </w:pPr>
      <w:r>
        <w:t>GGE</w:t>
      </w:r>
      <w:r>
        <w:tab/>
      </w:r>
      <w:r w:rsidR="00265104">
        <w:tab/>
      </w:r>
      <w:r>
        <w:t xml:space="preserve">Grupo de gerenciamento do </w:t>
      </w:r>
      <w:r w:rsidR="00E43DDD">
        <w:t>estudo</w:t>
      </w:r>
      <w:r>
        <w:t xml:space="preserve"> clínico</w:t>
      </w:r>
    </w:p>
    <w:p w14:paraId="6E09BB59" w14:textId="77777777" w:rsidR="000A0F1F" w:rsidRDefault="001535CD" w:rsidP="005239E5">
      <w:pPr>
        <w:contextualSpacing/>
      </w:pPr>
      <w:r>
        <w:t>COE</w:t>
      </w:r>
      <w:r>
        <w:tab/>
      </w:r>
      <w:r w:rsidR="00265104">
        <w:tab/>
      </w:r>
      <w:r>
        <w:t xml:space="preserve">Comitê de orientação do </w:t>
      </w:r>
      <w:r w:rsidR="00E43DDD">
        <w:t>estudo</w:t>
      </w:r>
      <w:r>
        <w:t xml:space="preserve"> clínico</w:t>
      </w:r>
      <w:r>
        <w:br w:type="page"/>
      </w:r>
    </w:p>
    <w:p w14:paraId="066541F1" w14:textId="77777777" w:rsidR="001535CD" w:rsidRDefault="001535CD" w:rsidP="005239E5">
      <w:pPr>
        <w:pStyle w:val="Heading1"/>
        <w:spacing w:before="0" w:after="0"/>
        <w:contextualSpacing/>
      </w:pPr>
      <w:bookmarkStart w:id="4" w:name="_Toc331159140"/>
      <w:bookmarkStart w:id="5" w:name="_Toc466030498"/>
      <w:bookmarkStart w:id="6" w:name="_Toc508183519"/>
      <w:r>
        <w:lastRenderedPageBreak/>
        <w:t>2.</w:t>
      </w:r>
      <w:r>
        <w:tab/>
        <w:t>ASSINATURAS</w:t>
      </w:r>
      <w:bookmarkEnd w:id="4"/>
      <w:bookmarkEnd w:id="5"/>
      <w:bookmarkEnd w:id="6"/>
    </w:p>
    <w:p w14:paraId="759F70B9" w14:textId="5916726E" w:rsidR="001535CD" w:rsidRPr="00B25F9C" w:rsidRDefault="00EB10BB" w:rsidP="005239E5">
      <w:pPr>
        <w:contextualSpacing/>
        <w:rPr>
          <w:rFonts w:cs="Arial"/>
          <w:szCs w:val="22"/>
          <w:highlight w:val="lightGray"/>
        </w:rPr>
      </w:pPr>
      <w:r>
        <w:rPr>
          <w:noProof/>
          <w:color w:val="000000"/>
          <w:lang w:val="en-GB" w:eastAsia="en-GB" w:bidi="ar-SA"/>
        </w:rPr>
        <mc:AlternateContent>
          <mc:Choice Requires="wps">
            <w:drawing>
              <wp:anchor distT="0" distB="0" distL="114300" distR="114300" simplePos="0" relativeHeight="5" behindDoc="0" locked="0" layoutInCell="1" allowOverlap="1" wp14:anchorId="25C539D4" wp14:editId="351A9D6F">
                <wp:simplePos x="0" y="0"/>
                <wp:positionH relativeFrom="column">
                  <wp:posOffset>-117475</wp:posOffset>
                </wp:positionH>
                <wp:positionV relativeFrom="paragraph">
                  <wp:posOffset>59055</wp:posOffset>
                </wp:positionV>
                <wp:extent cx="5410200" cy="5693410"/>
                <wp:effectExtent l="19050" t="19050" r="19050" b="21590"/>
                <wp:wrapNone/>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693410"/>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1C9477" w14:textId="77777777" w:rsidR="00C6254B" w:rsidRDefault="00C6254B">
                            <w:pPr>
                              <w:rPr>
                                <w:b/>
                                <w:u w:val="single"/>
                              </w:rPr>
                            </w:pPr>
                            <w:r>
                              <w:rPr>
                                <w:b/>
                                <w:u w:val="single"/>
                              </w:rPr>
                              <w:t>Contrato do investigador-chefe</w:t>
                            </w:r>
                          </w:p>
                          <w:p w14:paraId="01785B3F" w14:textId="77777777" w:rsidR="00C6254B" w:rsidRPr="00074404" w:rsidRDefault="00C6254B" w:rsidP="00400175">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e os requisitos regulatórios vigentes e aplicáveis e qualquer modificação posterior dos regulamentos pertinentes.</w:t>
                            </w:r>
                          </w:p>
                          <w:p w14:paraId="01513457" w14:textId="77777777" w:rsidR="00C6254B" w:rsidRPr="00553CDA" w:rsidRDefault="00C6254B" w:rsidP="00400175">
                            <w:pPr>
                              <w:jc w:val="both"/>
                              <w:rPr>
                                <w:sz w:val="16"/>
                                <w:szCs w:val="22"/>
                              </w:rPr>
                            </w:pPr>
                          </w:p>
                          <w:p w14:paraId="2351A6C7" w14:textId="77777777" w:rsidR="00C6254B" w:rsidRPr="00074404" w:rsidRDefault="00C6254B" w:rsidP="00400175">
                            <w:pPr>
                              <w:jc w:val="both"/>
                              <w:rPr>
                                <w:szCs w:val="22"/>
                              </w:rPr>
                            </w:pPr>
                            <w:r>
                              <w:rPr>
                                <w:b/>
                              </w:rPr>
                              <w:t xml:space="preserve">Nome do investigador-chefe: </w:t>
                            </w:r>
                            <w:r>
                              <w:t>Prof. Rupert Pearse</w:t>
                            </w:r>
                          </w:p>
                          <w:p w14:paraId="0E77F5F9" w14:textId="77777777" w:rsidR="00C6254B" w:rsidRPr="00074404" w:rsidRDefault="00C6254B" w:rsidP="00400175">
                            <w:pPr>
                              <w:jc w:val="both"/>
                              <w:rPr>
                                <w:szCs w:val="22"/>
                              </w:rPr>
                            </w:pPr>
                            <w:r>
                              <w:rPr>
                                <w:b/>
                              </w:rPr>
                              <w:t xml:space="preserve">Afiliação do investigador-chefe: </w:t>
                            </w:r>
                            <w:r>
                              <w:t>Queen Mary University of London</w:t>
                            </w:r>
                          </w:p>
                          <w:p w14:paraId="2B241C33" w14:textId="77777777" w:rsidR="00C6254B" w:rsidRPr="00553CDA" w:rsidRDefault="00C6254B" w:rsidP="00400175">
                            <w:pPr>
                              <w:jc w:val="both"/>
                              <w:rPr>
                                <w:b/>
                                <w:sz w:val="16"/>
                                <w:szCs w:val="22"/>
                              </w:rPr>
                            </w:pPr>
                          </w:p>
                          <w:p w14:paraId="235A9E58" w14:textId="31BD753E" w:rsidR="00C6254B" w:rsidRPr="00074404" w:rsidRDefault="00C6254B" w:rsidP="00400175">
                            <w:pPr>
                              <w:jc w:val="both"/>
                              <w:rPr>
                                <w:szCs w:val="22"/>
                              </w:rPr>
                            </w:pPr>
                            <w:r>
                              <w:rPr>
                                <w:b/>
                              </w:rPr>
                              <w:t>Assinatura e data:       [</w:t>
                            </w:r>
                            <w:r>
                              <w:rPr>
                                <w:b/>
                                <w:i/>
                              </w:rPr>
                              <w:t>handwritten</w:t>
                            </w:r>
                            <w:r>
                              <w:rPr>
                                <w:b/>
                              </w:rPr>
                              <w:t xml:space="preserve">]                        </w:t>
                            </w:r>
                            <w:r>
                              <w:t>2</w:t>
                            </w:r>
                            <w:r>
                              <w:rPr>
                                <w:vertAlign w:val="superscript"/>
                              </w:rPr>
                              <w:t xml:space="preserve"> </w:t>
                            </w:r>
                            <w:r>
                              <w:t>de novembro de 2016</w:t>
                            </w:r>
                          </w:p>
                          <w:p w14:paraId="66794E93" w14:textId="77777777" w:rsidR="00C6254B" w:rsidRPr="00074404" w:rsidRDefault="00C6254B" w:rsidP="00400175">
                            <w:pPr>
                              <w:jc w:val="both"/>
                              <w:rPr>
                                <w:szCs w:val="22"/>
                              </w:rPr>
                            </w:pPr>
                          </w:p>
                          <w:p w14:paraId="56C8533A" w14:textId="77777777" w:rsidR="00C6254B" w:rsidRPr="00074404" w:rsidRDefault="00C6254B" w:rsidP="00400175">
                            <w:pPr>
                              <w:jc w:val="both"/>
                              <w:rPr>
                                <w:szCs w:val="22"/>
                              </w:rPr>
                            </w:pPr>
                            <w:r>
                              <w:rPr>
                                <w:b/>
                                <w:u w:val="single"/>
                              </w:rPr>
                              <w:t>Contrato do estatístico</w:t>
                            </w:r>
                          </w:p>
                          <w:p w14:paraId="5E2DB6EE" w14:textId="77777777" w:rsidR="00C6254B" w:rsidRPr="00074404" w:rsidRDefault="00C6254B" w:rsidP="00401057">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os Princípios de Boas Práticas Clínicas do Conselho Internacional de Harmonização (BPC/ICH) e os requisitos regulatórios vigentes e aplicáveis.</w:t>
                            </w:r>
                          </w:p>
                          <w:p w14:paraId="1ACFA0A7" w14:textId="77777777" w:rsidR="00C6254B" w:rsidRPr="00074404" w:rsidRDefault="00C6254B" w:rsidP="00401057">
                            <w:pPr>
                              <w:jc w:val="both"/>
                              <w:rPr>
                                <w:szCs w:val="22"/>
                              </w:rPr>
                            </w:pPr>
                          </w:p>
                          <w:p w14:paraId="2A52F87E" w14:textId="1FA1A288" w:rsidR="00C6254B" w:rsidRPr="00074404" w:rsidRDefault="00C6254B" w:rsidP="00401057">
                            <w:pPr>
                              <w:jc w:val="both"/>
                              <w:rPr>
                                <w:szCs w:val="22"/>
                              </w:rPr>
                            </w:pPr>
                            <w:r>
                              <w:rPr>
                                <w:b/>
                              </w:rPr>
                              <w:t xml:space="preserve">Nome do estatístico: </w:t>
                            </w:r>
                            <w:r>
                              <w:t>Sr. Brennan Kahan</w:t>
                            </w:r>
                          </w:p>
                          <w:p w14:paraId="4C13BABC" w14:textId="77777777" w:rsidR="00C6254B" w:rsidRPr="00074404" w:rsidRDefault="00C6254B" w:rsidP="00401057">
                            <w:pPr>
                              <w:jc w:val="both"/>
                              <w:rPr>
                                <w:szCs w:val="22"/>
                              </w:rPr>
                            </w:pPr>
                            <w:r>
                              <w:rPr>
                                <w:b/>
                              </w:rPr>
                              <w:t xml:space="preserve">Afiliação do estatístico: </w:t>
                            </w:r>
                            <w:r>
                              <w:t>Queen Mary University of London</w:t>
                            </w:r>
                          </w:p>
                          <w:p w14:paraId="2BEFAAA5" w14:textId="52C4A828" w:rsidR="00C6254B" w:rsidRDefault="00C6254B" w:rsidP="00401057">
                            <w:pPr>
                              <w:jc w:val="both"/>
                              <w:rPr>
                                <w:b/>
                                <w:szCs w:val="22"/>
                              </w:rPr>
                            </w:pPr>
                            <w:r>
                              <w:rPr>
                                <w:b/>
                              </w:rPr>
                              <w:t>Assinatura e data:      [</w:t>
                            </w:r>
                            <w:r>
                              <w:rPr>
                                <w:b/>
                                <w:i/>
                              </w:rPr>
                              <w:t>handwritten</w:t>
                            </w:r>
                            <w:r>
                              <w:rPr>
                                <w:b/>
                              </w:rPr>
                              <w:t xml:space="preserve">]                        </w:t>
                            </w:r>
                            <w:r>
                              <w:t>2</w:t>
                            </w:r>
                            <w:r>
                              <w:rPr>
                                <w:vertAlign w:val="superscript"/>
                              </w:rPr>
                              <w:t xml:space="preserve"> </w:t>
                            </w:r>
                            <w:r>
                              <w:t>de novembro de 2016</w:t>
                            </w:r>
                          </w:p>
                          <w:p w14:paraId="24724872" w14:textId="77777777" w:rsidR="00C6254B" w:rsidRDefault="00C6254B" w:rsidP="00401057">
                            <w:pPr>
                              <w:jc w:val="both"/>
                              <w:rPr>
                                <w:b/>
                                <w:szCs w:val="22"/>
                              </w:rPr>
                            </w:pPr>
                          </w:p>
                          <w:p w14:paraId="4F520259" w14:textId="77777777" w:rsidR="00C6254B" w:rsidRDefault="00C6254B" w:rsidP="00401057">
                            <w:pPr>
                              <w:jc w:val="both"/>
                              <w:rPr>
                                <w:szCs w:val="22"/>
                              </w:rPr>
                            </w:pPr>
                          </w:p>
                          <w:p w14:paraId="1830EE5F" w14:textId="77777777" w:rsidR="00C6254B" w:rsidRPr="00401057" w:rsidRDefault="00C6254B" w:rsidP="00401057">
                            <w:pPr>
                              <w:jc w:val="both"/>
                              <w:rPr>
                                <w:szCs w:val="22"/>
                              </w:rPr>
                            </w:pPr>
                          </w:p>
                          <w:p w14:paraId="2835646A" w14:textId="77777777" w:rsidR="00C6254B" w:rsidRDefault="00C6254B" w:rsidP="00401057">
                            <w:pPr>
                              <w:jc w:val="both"/>
                              <w:rPr>
                                <w:szCs w:val="22"/>
                              </w:rPr>
                            </w:pPr>
                          </w:p>
                          <w:p w14:paraId="235A0F4D" w14:textId="77777777" w:rsidR="00C6254B" w:rsidRPr="00400175" w:rsidRDefault="00C6254B" w:rsidP="00400175">
                            <w:pPr>
                              <w:jc w:val="both"/>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9.25pt;margin-top:4.65pt;width:426pt;height:448.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" filled="f" strokecolor="red" strokeweight="2.5pt">
                <v:textbox>
                  <w:txbxContent>
                    <w:p w14:paraId="361C9477" w14:textId="77777777" w:rsidR="00C6254B" w:rsidRDefault="00C6254B">
                      <w:pPr>
                        <w:rPr>
                          <w:b/>
                          <w:u w:val="single"/>
                        </w:rPr>
                      </w:pPr>
                      <w:r>
                        <w:rPr>
                          <w:b/>
                          <w:u w:val="single"/>
                        </w:rPr>
                        <w:t>Contrato do investigador-chefe</w:t>
                      </w:r>
                    </w:p>
                    <w:p w14:paraId="01785B3F" w14:textId="77777777" w:rsidR="00C6254B" w:rsidRPr="00074404" w:rsidRDefault="00C6254B" w:rsidP="00400175">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e os requisitos regulatórios vigentes e aplicáveis e qualquer modificação posterior dos regulamentos pertinentes.</w:t>
                      </w:r>
                    </w:p>
                    <w:p w14:paraId="01513457" w14:textId="77777777" w:rsidR="00C6254B" w:rsidRPr="00553CDA" w:rsidRDefault="00C6254B" w:rsidP="00400175">
                      <w:pPr>
                        <w:jc w:val="both"/>
                        <w:rPr>
                          <w:sz w:val="16"/>
                          <w:szCs w:val="22"/>
                        </w:rPr>
                      </w:pPr>
                    </w:p>
                    <w:p w14:paraId="2351A6C7" w14:textId="77777777" w:rsidR="00C6254B" w:rsidRPr="00074404" w:rsidRDefault="00C6254B" w:rsidP="00400175">
                      <w:pPr>
                        <w:jc w:val="both"/>
                        <w:rPr>
                          <w:szCs w:val="22"/>
                        </w:rPr>
                      </w:pPr>
                      <w:r>
                        <w:rPr>
                          <w:b/>
                        </w:rPr>
                        <w:t xml:space="preserve">Nome do investigador-chefe: </w:t>
                      </w:r>
                      <w:r>
                        <w:t>Prof. Rupert Pearse</w:t>
                      </w:r>
                    </w:p>
                    <w:p w14:paraId="0E77F5F9" w14:textId="77777777" w:rsidR="00C6254B" w:rsidRPr="00074404" w:rsidRDefault="00C6254B" w:rsidP="00400175">
                      <w:pPr>
                        <w:jc w:val="both"/>
                        <w:rPr>
                          <w:szCs w:val="22"/>
                        </w:rPr>
                      </w:pPr>
                      <w:r>
                        <w:rPr>
                          <w:b/>
                        </w:rPr>
                        <w:t xml:space="preserve">Afiliação do investigador-chefe: </w:t>
                      </w:r>
                      <w:r>
                        <w:t>Queen Mary University of London</w:t>
                      </w:r>
                    </w:p>
                    <w:p w14:paraId="2B241C33" w14:textId="77777777" w:rsidR="00C6254B" w:rsidRPr="00553CDA" w:rsidRDefault="00C6254B" w:rsidP="00400175">
                      <w:pPr>
                        <w:jc w:val="both"/>
                        <w:rPr>
                          <w:b/>
                          <w:sz w:val="16"/>
                          <w:szCs w:val="22"/>
                        </w:rPr>
                      </w:pPr>
                    </w:p>
                    <w:p w14:paraId="235A9E58" w14:textId="31BD753E" w:rsidR="00C6254B" w:rsidRPr="00074404" w:rsidRDefault="00C6254B" w:rsidP="00400175">
                      <w:pPr>
                        <w:jc w:val="both"/>
                        <w:rPr>
                          <w:szCs w:val="22"/>
                        </w:rPr>
                      </w:pPr>
                      <w:r>
                        <w:rPr>
                          <w:b/>
                        </w:rPr>
                        <w:t>Assinatura e data:       [</w:t>
                      </w:r>
                      <w:r>
                        <w:rPr>
                          <w:b/>
                          <w:i/>
                        </w:rPr>
                        <w:t>handwritten</w:t>
                      </w:r>
                      <w:r>
                        <w:rPr>
                          <w:b/>
                        </w:rPr>
                        <w:t xml:space="preserve">]                        </w:t>
                      </w:r>
                      <w:r>
                        <w:t>2</w:t>
                      </w:r>
                      <w:r>
                        <w:rPr>
                          <w:vertAlign w:val="superscript"/>
                        </w:rPr>
                        <w:t xml:space="preserve"> </w:t>
                      </w:r>
                      <w:r>
                        <w:t>de novembro de 2016</w:t>
                      </w:r>
                    </w:p>
                    <w:p w14:paraId="66794E93" w14:textId="77777777" w:rsidR="00C6254B" w:rsidRPr="00074404" w:rsidRDefault="00C6254B" w:rsidP="00400175">
                      <w:pPr>
                        <w:jc w:val="both"/>
                        <w:rPr>
                          <w:szCs w:val="22"/>
                        </w:rPr>
                      </w:pPr>
                    </w:p>
                    <w:p w14:paraId="56C8533A" w14:textId="77777777" w:rsidR="00C6254B" w:rsidRPr="00074404" w:rsidRDefault="00C6254B" w:rsidP="00400175">
                      <w:pPr>
                        <w:jc w:val="both"/>
                        <w:rPr>
                          <w:szCs w:val="22"/>
                        </w:rPr>
                      </w:pPr>
                      <w:r>
                        <w:rPr>
                          <w:b/>
                          <w:u w:val="single"/>
                        </w:rPr>
                        <w:t>Contrato do estatístico</w:t>
                      </w:r>
                    </w:p>
                    <w:p w14:paraId="5E2DB6EE" w14:textId="77777777" w:rsidR="00C6254B" w:rsidRPr="00074404" w:rsidRDefault="00C6254B" w:rsidP="00401057">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os Princípios de Boas Práticas Clínicas do Conselho Internacional de Harmonização (BPC/ICH) e os requisitos regulatórios vigentes e aplicáveis.</w:t>
                      </w:r>
                    </w:p>
                    <w:p w14:paraId="1ACFA0A7" w14:textId="77777777" w:rsidR="00C6254B" w:rsidRPr="00074404" w:rsidRDefault="00C6254B" w:rsidP="00401057">
                      <w:pPr>
                        <w:jc w:val="both"/>
                        <w:rPr>
                          <w:szCs w:val="22"/>
                        </w:rPr>
                      </w:pPr>
                    </w:p>
                    <w:p w14:paraId="2A52F87E" w14:textId="1FA1A288" w:rsidR="00C6254B" w:rsidRPr="00074404" w:rsidRDefault="00C6254B" w:rsidP="00401057">
                      <w:pPr>
                        <w:jc w:val="both"/>
                        <w:rPr>
                          <w:szCs w:val="22"/>
                        </w:rPr>
                      </w:pPr>
                      <w:r>
                        <w:rPr>
                          <w:b/>
                        </w:rPr>
                        <w:t xml:space="preserve">Nome do estatístico: </w:t>
                      </w:r>
                      <w:r>
                        <w:t>Sr. Brennan Kahan</w:t>
                      </w:r>
                    </w:p>
                    <w:p w14:paraId="4C13BABC" w14:textId="77777777" w:rsidR="00C6254B" w:rsidRPr="00074404" w:rsidRDefault="00C6254B" w:rsidP="00401057">
                      <w:pPr>
                        <w:jc w:val="both"/>
                        <w:rPr>
                          <w:szCs w:val="22"/>
                        </w:rPr>
                      </w:pPr>
                      <w:r>
                        <w:rPr>
                          <w:b/>
                        </w:rPr>
                        <w:t xml:space="preserve">Afiliação do estatístico: </w:t>
                      </w:r>
                      <w:r>
                        <w:t>Queen Mary University of London</w:t>
                      </w:r>
                    </w:p>
                    <w:p w14:paraId="2BEFAAA5" w14:textId="52C4A828" w:rsidR="00C6254B" w:rsidRDefault="00C6254B" w:rsidP="00401057">
                      <w:pPr>
                        <w:jc w:val="both"/>
                        <w:rPr>
                          <w:b/>
                          <w:szCs w:val="22"/>
                        </w:rPr>
                      </w:pPr>
                      <w:r>
                        <w:rPr>
                          <w:b/>
                        </w:rPr>
                        <w:t>Assinatura e data:      [</w:t>
                      </w:r>
                      <w:r>
                        <w:rPr>
                          <w:b/>
                          <w:i/>
                        </w:rPr>
                        <w:t>handwritten</w:t>
                      </w:r>
                      <w:r>
                        <w:rPr>
                          <w:b/>
                        </w:rPr>
                        <w:t xml:space="preserve">]                        </w:t>
                      </w:r>
                      <w:r>
                        <w:t>2</w:t>
                      </w:r>
                      <w:r>
                        <w:rPr>
                          <w:vertAlign w:val="superscript"/>
                        </w:rPr>
                        <w:t xml:space="preserve"> </w:t>
                      </w:r>
                      <w:r>
                        <w:t>de novembro de 2016</w:t>
                      </w:r>
                    </w:p>
                    <w:p w14:paraId="24724872" w14:textId="77777777" w:rsidR="00C6254B" w:rsidRDefault="00C6254B" w:rsidP="00401057">
                      <w:pPr>
                        <w:jc w:val="both"/>
                        <w:rPr>
                          <w:b/>
                          <w:szCs w:val="22"/>
                        </w:rPr>
                      </w:pPr>
                    </w:p>
                    <w:p w14:paraId="4F520259" w14:textId="77777777" w:rsidR="00C6254B" w:rsidRDefault="00C6254B" w:rsidP="00401057">
                      <w:pPr>
                        <w:jc w:val="both"/>
                        <w:rPr>
                          <w:szCs w:val="22"/>
                        </w:rPr>
                      </w:pPr>
                    </w:p>
                    <w:p w14:paraId="1830EE5F" w14:textId="77777777" w:rsidR="00C6254B" w:rsidRPr="00401057" w:rsidRDefault="00C6254B" w:rsidP="00401057">
                      <w:pPr>
                        <w:jc w:val="both"/>
                        <w:rPr>
                          <w:szCs w:val="22"/>
                        </w:rPr>
                      </w:pPr>
                    </w:p>
                    <w:p w14:paraId="2835646A" w14:textId="77777777" w:rsidR="00C6254B" w:rsidRDefault="00C6254B" w:rsidP="00401057">
                      <w:pPr>
                        <w:jc w:val="both"/>
                        <w:rPr>
                          <w:szCs w:val="22"/>
                        </w:rPr>
                      </w:pPr>
                    </w:p>
                    <w:p w14:paraId="235A0F4D" w14:textId="77777777" w:rsidR="00C6254B" w:rsidRPr="00400175" w:rsidRDefault="00C6254B" w:rsidP="00400175">
                      <w:pPr>
                        <w:jc w:val="both"/>
                        <w:rPr>
                          <w:b/>
                          <w:szCs w:val="22"/>
                        </w:rPr>
                      </w:pPr>
                    </w:p>
                  </w:txbxContent>
                </v:textbox>
              </v:shape>
            </w:pict>
          </mc:Fallback>
        </mc:AlternateContent>
      </w:r>
    </w:p>
    <w:p w14:paraId="00B44F90" w14:textId="77777777" w:rsidR="001535CD" w:rsidRPr="00B25F9C" w:rsidRDefault="001535CD" w:rsidP="005239E5">
      <w:pPr>
        <w:contextualSpacing/>
        <w:rPr>
          <w:rFonts w:cs="Arial"/>
          <w:szCs w:val="22"/>
          <w:highlight w:val="lightGray"/>
        </w:rPr>
      </w:pPr>
    </w:p>
    <w:p w14:paraId="205CFF96" w14:textId="77777777" w:rsidR="001535CD" w:rsidRPr="00B25F9C" w:rsidRDefault="001535CD" w:rsidP="005239E5">
      <w:pPr>
        <w:contextualSpacing/>
        <w:rPr>
          <w:rFonts w:cs="Arial"/>
          <w:szCs w:val="22"/>
          <w:highlight w:val="lightGray"/>
        </w:rPr>
      </w:pPr>
    </w:p>
    <w:p w14:paraId="2AC5E0C8" w14:textId="77777777" w:rsidR="001535CD" w:rsidRPr="00B25F9C" w:rsidRDefault="001535CD" w:rsidP="005239E5">
      <w:pPr>
        <w:contextualSpacing/>
        <w:rPr>
          <w:rFonts w:cs="Arial"/>
          <w:szCs w:val="22"/>
          <w:highlight w:val="lightGray"/>
        </w:rPr>
      </w:pPr>
    </w:p>
    <w:p w14:paraId="044D1BFC" w14:textId="77777777" w:rsidR="001535CD" w:rsidRPr="00B25F9C" w:rsidRDefault="001535CD" w:rsidP="005239E5">
      <w:pPr>
        <w:contextualSpacing/>
        <w:rPr>
          <w:rFonts w:cs="Arial"/>
          <w:szCs w:val="22"/>
          <w:highlight w:val="lightGray"/>
        </w:rPr>
      </w:pPr>
    </w:p>
    <w:p w14:paraId="1D373AAC" w14:textId="5471A22D" w:rsidR="001535CD" w:rsidRDefault="00EB10BB" w:rsidP="005239E5">
      <w:pPr>
        <w:contextualSpacing/>
        <w:rPr>
          <w:rFonts w:cs="Arial"/>
          <w:b/>
        </w:rPr>
      </w:pPr>
      <w:bookmarkStart w:id="7" w:name="_Toc331159144"/>
      <w:r>
        <w:rPr>
          <w:noProof/>
          <w:color w:val="000000"/>
          <w:lang w:val="en-GB" w:eastAsia="en-GB" w:bidi="ar-SA"/>
        </w:rPr>
        <mc:AlternateContent>
          <mc:Choice Requires="wps">
            <w:drawing>
              <wp:anchor distT="0" distB="0" distL="114300" distR="114300" simplePos="0" relativeHeight="4" behindDoc="0" locked="0" layoutInCell="1" allowOverlap="1" wp14:anchorId="1A484D30" wp14:editId="08698DCD">
                <wp:simplePos x="0" y="0"/>
                <wp:positionH relativeFrom="column">
                  <wp:posOffset>-104775</wp:posOffset>
                </wp:positionH>
                <wp:positionV relativeFrom="paragraph">
                  <wp:posOffset>4642485</wp:posOffset>
                </wp:positionV>
                <wp:extent cx="5397500" cy="2799715"/>
                <wp:effectExtent l="19050" t="19050" r="12700" b="19685"/>
                <wp:wrapNone/>
                <wp:docPr id="4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279971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A4D48" w14:textId="77777777" w:rsidR="00C6254B" w:rsidRDefault="00C6254B" w:rsidP="00401057">
                            <w:pPr>
                              <w:rPr>
                                <w:b/>
                                <w:u w:val="single"/>
                              </w:rPr>
                            </w:pPr>
                            <w:r>
                              <w:rPr>
                                <w:b/>
                                <w:u w:val="single"/>
                              </w:rPr>
                              <w:t>Contrato do investigador principal</w:t>
                            </w:r>
                          </w:p>
                          <w:p w14:paraId="5AE3B280" w14:textId="3C39451E" w:rsidR="00C6254B" w:rsidRDefault="00C6254B" w:rsidP="00401057">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e os requisitos regulatórios vigentes e aplicáveis e qualquer modificação posterior dos regulamentos pertinentes.</w:t>
                            </w:r>
                          </w:p>
                          <w:p w14:paraId="6C43AF57" w14:textId="77777777" w:rsidR="00C6254B" w:rsidRDefault="00C6254B" w:rsidP="00401057">
                            <w:pPr>
                              <w:jc w:val="both"/>
                              <w:rPr>
                                <w:szCs w:val="22"/>
                              </w:rPr>
                            </w:pPr>
                          </w:p>
                          <w:p w14:paraId="7BAA8A72" w14:textId="77777777" w:rsidR="00C6254B" w:rsidRDefault="00C6254B" w:rsidP="00401057">
                            <w:pPr>
                              <w:jc w:val="both"/>
                              <w:rPr>
                                <w:szCs w:val="22"/>
                              </w:rPr>
                            </w:pPr>
                            <w:r>
                              <w:rPr>
                                <w:b/>
                              </w:rPr>
                              <w:t>Nome do investigador principal:</w:t>
                            </w:r>
                          </w:p>
                          <w:p w14:paraId="588E42B4" w14:textId="197E6798" w:rsidR="00C6254B" w:rsidRDefault="00C6254B" w:rsidP="00401057">
                            <w:pPr>
                              <w:jc w:val="both"/>
                              <w:rPr>
                                <w:szCs w:val="22"/>
                              </w:rPr>
                            </w:pPr>
                            <w:r>
                              <w:rPr>
                                <w:b/>
                              </w:rPr>
                              <w:t>Afiliação do investigador principal:</w:t>
                            </w:r>
                          </w:p>
                          <w:p w14:paraId="64A1E701" w14:textId="77777777" w:rsidR="00C6254B" w:rsidRPr="00E069DC" w:rsidRDefault="00C6254B" w:rsidP="00401057">
                            <w:pPr>
                              <w:jc w:val="both"/>
                              <w:rPr>
                                <w:sz w:val="8"/>
                                <w:szCs w:val="22"/>
                              </w:rPr>
                            </w:pPr>
                          </w:p>
                          <w:p w14:paraId="3227F59E" w14:textId="2158DFDA" w:rsidR="00C6254B" w:rsidRDefault="00C6254B" w:rsidP="00401057">
                            <w:pPr>
                              <w:jc w:val="both"/>
                              <w:rPr>
                                <w:szCs w:val="22"/>
                              </w:rPr>
                            </w:pPr>
                            <w:r>
                              <w:rPr>
                                <w:b/>
                              </w:rPr>
                              <w:t>Assinatura e data:</w:t>
                            </w:r>
                            <w:r>
                              <w:tab/>
                            </w:r>
                            <w:r>
                              <w:tab/>
                            </w:r>
                            <w:r>
                              <w:tab/>
                            </w:r>
                          </w:p>
                          <w:p w14:paraId="42068996" w14:textId="77777777" w:rsidR="00C6254B" w:rsidRDefault="00C6254B" w:rsidP="00401057">
                            <w:pPr>
                              <w:jc w:val="both"/>
                              <w:rPr>
                                <w:b/>
                                <w:szCs w:val="22"/>
                              </w:rPr>
                            </w:pPr>
                          </w:p>
                          <w:p w14:paraId="0FD91B82" w14:textId="77777777" w:rsidR="00C6254B" w:rsidRPr="00400175" w:rsidRDefault="00C6254B" w:rsidP="00401057">
                            <w:pPr>
                              <w:jc w:val="both"/>
                              <w:rPr>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8.25pt;margin-top:365.55pt;width:425pt;height:220.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" filled="f" strokecolor="red" strokeweight="2.5pt">
                <v:textbox>
                  <w:txbxContent>
                    <w:p w14:paraId="7D2A4D48" w14:textId="77777777" w:rsidR="00C6254B" w:rsidRDefault="00C6254B" w:rsidP="00401057">
                      <w:pPr>
                        <w:rPr>
                          <w:b/>
                          <w:u w:val="single"/>
                        </w:rPr>
                      </w:pPr>
                      <w:r>
                        <w:rPr>
                          <w:b/>
                          <w:u w:val="single"/>
                        </w:rPr>
                        <w:t>Contrato do investigador principal</w:t>
                      </w:r>
                    </w:p>
                    <w:p w14:paraId="5AE3B280" w14:textId="3C39451E" w:rsidR="00C6254B" w:rsidRDefault="00C6254B" w:rsidP="00401057">
                      <w:pPr>
                        <w:jc w:val="both"/>
                        <w:rPr>
                          <w:szCs w:val="22"/>
                        </w:rPr>
                      </w:pPr>
                      <w:r>
                        <w:t xml:space="preserve">O estudo clínico detalhado neste protocolo de pesquisa (versão 1.0,11/03/2016), ou qualquer alteração subsequente, será realizado em conformidade com o </w:t>
                      </w:r>
                      <w:r w:rsidRPr="00D91233">
                        <w:rPr>
                          <w:i/>
                        </w:rPr>
                        <w:t>Research Governance Framework for Health &amp; Social Care</w:t>
                      </w:r>
                      <w:r>
                        <w:t xml:space="preserve"> (2005), a Declaração de Helsinque da Associação Médica Mundial (1996) e os requisitos regulatórios vigentes e aplicáveis e qualquer modificação posterior dos regulamentos pertinentes.</w:t>
                      </w:r>
                    </w:p>
                    <w:p w14:paraId="6C43AF57" w14:textId="77777777" w:rsidR="00C6254B" w:rsidRDefault="00C6254B" w:rsidP="00401057">
                      <w:pPr>
                        <w:jc w:val="both"/>
                        <w:rPr>
                          <w:szCs w:val="22"/>
                        </w:rPr>
                      </w:pPr>
                    </w:p>
                    <w:p w14:paraId="7BAA8A72" w14:textId="77777777" w:rsidR="00C6254B" w:rsidRDefault="00C6254B" w:rsidP="00401057">
                      <w:pPr>
                        <w:jc w:val="both"/>
                        <w:rPr>
                          <w:szCs w:val="22"/>
                        </w:rPr>
                      </w:pPr>
                      <w:r>
                        <w:rPr>
                          <w:b/>
                        </w:rPr>
                        <w:t>Nome do investigador principal:</w:t>
                      </w:r>
                    </w:p>
                    <w:p w14:paraId="588E42B4" w14:textId="197E6798" w:rsidR="00C6254B" w:rsidRDefault="00C6254B" w:rsidP="00401057">
                      <w:pPr>
                        <w:jc w:val="both"/>
                        <w:rPr>
                          <w:szCs w:val="22"/>
                        </w:rPr>
                      </w:pPr>
                      <w:r>
                        <w:rPr>
                          <w:b/>
                        </w:rPr>
                        <w:t>Afiliação do investigador principal:</w:t>
                      </w:r>
                    </w:p>
                    <w:p w14:paraId="64A1E701" w14:textId="77777777" w:rsidR="00C6254B" w:rsidRPr="00E069DC" w:rsidRDefault="00C6254B" w:rsidP="00401057">
                      <w:pPr>
                        <w:jc w:val="both"/>
                        <w:rPr>
                          <w:sz w:val="8"/>
                          <w:szCs w:val="22"/>
                        </w:rPr>
                      </w:pPr>
                    </w:p>
                    <w:p w14:paraId="3227F59E" w14:textId="2158DFDA" w:rsidR="00C6254B" w:rsidRDefault="00C6254B" w:rsidP="00401057">
                      <w:pPr>
                        <w:jc w:val="both"/>
                        <w:rPr>
                          <w:szCs w:val="22"/>
                        </w:rPr>
                      </w:pPr>
                      <w:r>
                        <w:rPr>
                          <w:b/>
                        </w:rPr>
                        <w:t>Assinatura e data:</w:t>
                      </w:r>
                      <w:r>
                        <w:tab/>
                      </w:r>
                      <w:r>
                        <w:tab/>
                      </w:r>
                      <w:r>
                        <w:tab/>
                      </w:r>
                    </w:p>
                    <w:p w14:paraId="42068996" w14:textId="77777777" w:rsidR="00C6254B" w:rsidRDefault="00C6254B" w:rsidP="00401057">
                      <w:pPr>
                        <w:jc w:val="both"/>
                        <w:rPr>
                          <w:b/>
                          <w:szCs w:val="22"/>
                        </w:rPr>
                      </w:pPr>
                    </w:p>
                    <w:p w14:paraId="0FD91B82" w14:textId="77777777" w:rsidR="00C6254B" w:rsidRPr="00400175" w:rsidRDefault="00C6254B" w:rsidP="00401057">
                      <w:pPr>
                        <w:jc w:val="both"/>
                        <w:rPr>
                          <w:b/>
                          <w:szCs w:val="22"/>
                        </w:rPr>
                      </w:pPr>
                    </w:p>
                  </w:txbxContent>
                </v:textbox>
              </v:shape>
            </w:pict>
          </mc:Fallback>
        </mc:AlternateContent>
      </w:r>
      <w:r w:rsidR="00FB45F7">
        <w:br w:type="page"/>
      </w:r>
    </w:p>
    <w:p w14:paraId="6AD2A971" w14:textId="77777777" w:rsidR="001535CD" w:rsidRPr="00857463" w:rsidRDefault="001535CD" w:rsidP="005239E5">
      <w:pPr>
        <w:pStyle w:val="Heading1"/>
        <w:spacing w:before="0" w:after="0"/>
        <w:ind w:left="0" w:firstLine="0"/>
        <w:contextualSpacing/>
      </w:pPr>
      <w:bookmarkStart w:id="8" w:name="_Toc466030499"/>
      <w:bookmarkStart w:id="9" w:name="_Toc508183520"/>
      <w:r>
        <w:lastRenderedPageBreak/>
        <w:t>3.</w:t>
      </w:r>
      <w:r>
        <w:tab/>
        <w:t>RESUMO</w:t>
      </w:r>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1535CD" w:rsidRPr="001F5492" w14:paraId="1F32DF22" w14:textId="77777777" w:rsidTr="005A3845">
        <w:trPr>
          <w:trHeight w:val="700"/>
        </w:trPr>
        <w:tc>
          <w:tcPr>
            <w:tcW w:w="2628" w:type="dxa"/>
            <w:vAlign w:val="center"/>
          </w:tcPr>
          <w:p w14:paraId="2EBB4B27" w14:textId="77777777" w:rsidR="001535CD" w:rsidRPr="00E46940" w:rsidRDefault="001535CD" w:rsidP="005239E5">
            <w:pPr>
              <w:contextualSpacing/>
              <w:rPr>
                <w:rFonts w:cs="Arial"/>
                <w:b/>
              </w:rPr>
            </w:pPr>
            <w:r>
              <w:rPr>
                <w:b/>
              </w:rPr>
              <w:t>Título abreviado</w:t>
            </w:r>
          </w:p>
        </w:tc>
        <w:tc>
          <w:tcPr>
            <w:tcW w:w="5894" w:type="dxa"/>
            <w:vAlign w:val="center"/>
          </w:tcPr>
          <w:p w14:paraId="623ED309" w14:textId="77777777" w:rsidR="001535CD" w:rsidRPr="005A3845" w:rsidRDefault="00E63DC2" w:rsidP="005239E5">
            <w:pPr>
              <w:contextualSpacing/>
              <w:jc w:val="both"/>
              <w:rPr>
                <w:rFonts w:cs="Arial"/>
              </w:rPr>
            </w:pPr>
            <w:r>
              <w:t>Estudo OPTIMISE II</w:t>
            </w:r>
          </w:p>
        </w:tc>
      </w:tr>
      <w:tr w:rsidR="001535CD" w:rsidRPr="001F5492" w14:paraId="1E9E5BBC" w14:textId="77777777" w:rsidTr="005A3845">
        <w:trPr>
          <w:trHeight w:val="875"/>
        </w:trPr>
        <w:tc>
          <w:tcPr>
            <w:tcW w:w="2628" w:type="dxa"/>
            <w:vAlign w:val="center"/>
          </w:tcPr>
          <w:p w14:paraId="7DA6CD2D" w14:textId="77777777" w:rsidR="001535CD" w:rsidRPr="008158F8" w:rsidRDefault="00C6654E" w:rsidP="005239E5">
            <w:pPr>
              <w:contextualSpacing/>
              <w:rPr>
                <w:rFonts w:cs="Arial"/>
                <w:b/>
              </w:rPr>
            </w:pPr>
            <w:r w:rsidRPr="008158F8">
              <w:rPr>
                <w:b/>
              </w:rPr>
              <w:t>Metodologia</w:t>
            </w:r>
          </w:p>
        </w:tc>
        <w:tc>
          <w:tcPr>
            <w:tcW w:w="5894" w:type="dxa"/>
            <w:vAlign w:val="center"/>
          </w:tcPr>
          <w:p w14:paraId="031A2F89" w14:textId="77777777" w:rsidR="001535CD" w:rsidRPr="00E71D80" w:rsidRDefault="00C6654E" w:rsidP="005239E5">
            <w:pPr>
              <w:pStyle w:val="BodyText2"/>
              <w:contextualSpacing/>
              <w:jc w:val="both"/>
              <w:rPr>
                <w:rFonts w:cs="Arial"/>
                <w:color w:val="auto"/>
                <w:szCs w:val="22"/>
              </w:rPr>
            </w:pPr>
            <w:r w:rsidRPr="008158F8">
              <w:rPr>
                <w:color w:val="auto"/>
              </w:rPr>
              <w:t>Estudo internacional, aberto, controlado, multicêntrico, randomizado</w:t>
            </w:r>
          </w:p>
        </w:tc>
      </w:tr>
      <w:tr w:rsidR="001535CD" w:rsidRPr="001F5492" w14:paraId="636DD7A0" w14:textId="77777777" w:rsidTr="005A3845">
        <w:trPr>
          <w:trHeight w:val="875"/>
        </w:trPr>
        <w:tc>
          <w:tcPr>
            <w:tcW w:w="2628" w:type="dxa"/>
            <w:vAlign w:val="center"/>
          </w:tcPr>
          <w:p w14:paraId="3C320148" w14:textId="77777777" w:rsidR="001535CD" w:rsidRPr="00E46940" w:rsidRDefault="001535CD" w:rsidP="005239E5">
            <w:pPr>
              <w:contextualSpacing/>
              <w:rPr>
                <w:rFonts w:cs="Arial"/>
                <w:b/>
              </w:rPr>
            </w:pPr>
            <w:r>
              <w:rPr>
                <w:b/>
              </w:rPr>
              <w:t>Centros da pesquisa</w:t>
            </w:r>
          </w:p>
        </w:tc>
        <w:tc>
          <w:tcPr>
            <w:tcW w:w="5894" w:type="dxa"/>
            <w:vAlign w:val="center"/>
          </w:tcPr>
          <w:p w14:paraId="65680AA9" w14:textId="77777777" w:rsidR="001535CD" w:rsidRPr="00E46940" w:rsidRDefault="005815C2" w:rsidP="005815C2">
            <w:pPr>
              <w:contextualSpacing/>
              <w:jc w:val="both"/>
              <w:rPr>
                <w:rFonts w:cs="Arial"/>
              </w:rPr>
            </w:pPr>
            <w:r>
              <w:t>Serviços cirúrgicos, nos países participantes, em hospitais que realizam cirurgias eletivas de grande porte que envolvam o trato gastrointestinal.</w:t>
            </w:r>
          </w:p>
        </w:tc>
      </w:tr>
      <w:tr w:rsidR="001535CD" w:rsidRPr="001F5492" w14:paraId="21103E7C" w14:textId="77777777" w:rsidTr="005A3845">
        <w:trPr>
          <w:trHeight w:val="1627"/>
        </w:trPr>
        <w:tc>
          <w:tcPr>
            <w:tcW w:w="2628" w:type="dxa"/>
            <w:vAlign w:val="center"/>
          </w:tcPr>
          <w:p w14:paraId="07F5F3FD" w14:textId="77777777" w:rsidR="001535CD" w:rsidRPr="00E46940" w:rsidRDefault="001535CD" w:rsidP="005239E5">
            <w:pPr>
              <w:contextualSpacing/>
              <w:rPr>
                <w:rFonts w:cs="Arial"/>
                <w:b/>
              </w:rPr>
            </w:pPr>
            <w:r>
              <w:rPr>
                <w:b/>
              </w:rPr>
              <w:t>Objetivos</w:t>
            </w:r>
          </w:p>
        </w:tc>
        <w:tc>
          <w:tcPr>
            <w:tcW w:w="5894" w:type="dxa"/>
            <w:vAlign w:val="center"/>
          </w:tcPr>
          <w:p w14:paraId="019DE2BE" w14:textId="367C87F3" w:rsidR="001535CD" w:rsidRPr="00E46940" w:rsidRDefault="00E70B9C" w:rsidP="00B9191E">
            <w:pPr>
              <w:contextualSpacing/>
              <w:jc w:val="both"/>
              <w:rPr>
                <w:rFonts w:cs="Arial"/>
              </w:rPr>
            </w:pPr>
            <w:r>
              <w:t>Determinar se o uso de monitoramento do débito cardíaco minimamente invasivo</w:t>
            </w:r>
            <w:r w:rsidR="00B9191E">
              <w:t>,</w:t>
            </w:r>
            <w:r>
              <w:t xml:space="preserve"> para guiar a administração protocolizada de fluido intravenoso com uma infusão de inotrópico em dose baixa em pacientes submetidos a uma cirurgia eletiva de grande porte envolvendo o trato gastrointestinal, reduz a incidência de uma infecção pós-operatória dentro de um período de 30</w:t>
            </w:r>
            <w:r w:rsidR="000215EC">
              <w:t> </w:t>
            </w:r>
            <w:r>
              <w:t xml:space="preserve">dias </w:t>
            </w:r>
            <w:r w:rsidR="000130A6">
              <w:t>após</w:t>
            </w:r>
            <w:r>
              <w:t xml:space="preserve"> </w:t>
            </w:r>
            <w:r w:rsidR="000C16AC">
              <w:t xml:space="preserve">a </w:t>
            </w:r>
            <w:r>
              <w:t>randomização.</w:t>
            </w:r>
          </w:p>
        </w:tc>
      </w:tr>
      <w:tr w:rsidR="001535CD" w:rsidRPr="001F5492" w14:paraId="6EE6528D" w14:textId="77777777" w:rsidTr="005A3845">
        <w:trPr>
          <w:trHeight w:val="559"/>
        </w:trPr>
        <w:tc>
          <w:tcPr>
            <w:tcW w:w="2628" w:type="dxa"/>
            <w:vAlign w:val="center"/>
          </w:tcPr>
          <w:p w14:paraId="0739DC04" w14:textId="77777777" w:rsidR="001535CD" w:rsidRPr="00E46940" w:rsidRDefault="001535CD" w:rsidP="005239E5">
            <w:pPr>
              <w:contextualSpacing/>
              <w:rPr>
                <w:rFonts w:cs="Arial"/>
                <w:b/>
              </w:rPr>
            </w:pPr>
            <w:r>
              <w:rPr>
                <w:b/>
              </w:rPr>
              <w:t>Número de pacientes</w:t>
            </w:r>
          </w:p>
        </w:tc>
        <w:tc>
          <w:tcPr>
            <w:tcW w:w="5894" w:type="dxa"/>
            <w:vAlign w:val="center"/>
          </w:tcPr>
          <w:p w14:paraId="51BA3093" w14:textId="77777777" w:rsidR="000A4334" w:rsidRPr="000A4334" w:rsidRDefault="000A4334" w:rsidP="005239E5">
            <w:pPr>
              <w:contextualSpacing/>
              <w:jc w:val="both"/>
            </w:pPr>
            <w:r>
              <w:t xml:space="preserve"> 2.502 pacientes (1.251 por braço)</w:t>
            </w:r>
          </w:p>
        </w:tc>
      </w:tr>
      <w:tr w:rsidR="001535CD" w:rsidRPr="001F5492" w14:paraId="7F1FB20B" w14:textId="77777777" w:rsidTr="006C5787">
        <w:trPr>
          <w:trHeight w:val="1186"/>
        </w:trPr>
        <w:tc>
          <w:tcPr>
            <w:tcW w:w="2628" w:type="dxa"/>
            <w:vAlign w:val="center"/>
          </w:tcPr>
          <w:p w14:paraId="14F9D6F9" w14:textId="77777777" w:rsidR="001535CD" w:rsidRPr="00E46940" w:rsidRDefault="001535CD" w:rsidP="005239E5">
            <w:pPr>
              <w:contextualSpacing/>
              <w:rPr>
                <w:rFonts w:cs="Arial"/>
                <w:b/>
              </w:rPr>
            </w:pPr>
            <w:r>
              <w:rPr>
                <w:b/>
              </w:rPr>
              <w:t>Critérios de inclusão no estudo</w:t>
            </w:r>
          </w:p>
        </w:tc>
        <w:tc>
          <w:tcPr>
            <w:tcW w:w="5894" w:type="dxa"/>
            <w:vAlign w:val="center"/>
          </w:tcPr>
          <w:p w14:paraId="4FB8C9BA" w14:textId="77777777" w:rsidR="001535CD" w:rsidRPr="00E46940" w:rsidRDefault="00E70B9C">
            <w:pPr>
              <w:contextualSpacing/>
              <w:jc w:val="both"/>
              <w:rPr>
                <w:rFonts w:cs="Arial"/>
              </w:rPr>
            </w:pPr>
            <w:r>
              <w:t>Pacientes com 65 anos ou mais, que serão submetidos a uma cirurgia eletiva de grande porte, envolvendo o trato gastrointestinal, com duração superior a 90 minutos.</w:t>
            </w:r>
          </w:p>
        </w:tc>
      </w:tr>
      <w:tr w:rsidR="004D6A6C" w:rsidRPr="001F5492" w14:paraId="5AEC2A24" w14:textId="77777777" w:rsidTr="004D6A6C">
        <w:trPr>
          <w:trHeight w:val="438"/>
        </w:trPr>
        <w:tc>
          <w:tcPr>
            <w:tcW w:w="2628" w:type="dxa"/>
            <w:vAlign w:val="center"/>
          </w:tcPr>
          <w:p w14:paraId="7DFE4927" w14:textId="77777777" w:rsidR="004D6A6C" w:rsidRDefault="004D6A6C" w:rsidP="005239E5">
            <w:pPr>
              <w:contextualSpacing/>
              <w:rPr>
                <w:rFonts w:cs="Arial"/>
                <w:b/>
                <w:szCs w:val="22"/>
              </w:rPr>
            </w:pPr>
            <w:r>
              <w:rPr>
                <w:b/>
              </w:rPr>
              <w:t>Critérios de exclusão do estudo</w:t>
            </w:r>
          </w:p>
        </w:tc>
        <w:tc>
          <w:tcPr>
            <w:tcW w:w="5894" w:type="dxa"/>
            <w:vAlign w:val="center"/>
          </w:tcPr>
          <w:p w14:paraId="1F49526F" w14:textId="62784646" w:rsidR="00B912CC" w:rsidRDefault="00725129" w:rsidP="00C83DC0">
            <w:pPr>
              <w:jc w:val="both"/>
              <w:rPr>
                <w:szCs w:val="18"/>
              </w:rPr>
            </w:pPr>
            <w:r>
              <w:t>Recusa do paciente, recusa do médico, pontuação de 1</w:t>
            </w:r>
            <w:r w:rsidR="008A5DF5">
              <w:t> </w:t>
            </w:r>
            <w:r>
              <w:t xml:space="preserve">(um) na escala da </w:t>
            </w:r>
            <w:r w:rsidR="00966C85" w:rsidRPr="00D91233">
              <w:rPr>
                <w:i/>
              </w:rPr>
              <w:t>American Society of Anesthesiologists</w:t>
            </w:r>
            <w:r>
              <w:t xml:space="preserve">, expectativa de óbito dos pacientes dentro de 30 dias, isquemia miocárdica aguda nos últimos 30 dias, edema pulmonar agudo nos últimos 30 dias, qualquer contraindicação de medicamento inotrópico em dose baixa, gravidez, inscrição anterior no </w:t>
            </w:r>
            <w:r w:rsidR="00E43DDD">
              <w:t>estudo</w:t>
            </w:r>
            <w:r>
              <w:t xml:space="preserve"> clínico OPTIMISE II, participação atual em outro </w:t>
            </w:r>
            <w:r w:rsidR="00E43DDD">
              <w:t>estudo</w:t>
            </w:r>
            <w:r>
              <w:t xml:space="preserve"> clínico com tratamento com mecanismo biológico ou medida do resultado primário similar.</w:t>
            </w:r>
          </w:p>
        </w:tc>
      </w:tr>
      <w:tr w:rsidR="001535CD" w:rsidRPr="001F5492" w14:paraId="06B9D8FC" w14:textId="77777777" w:rsidTr="00856076">
        <w:trPr>
          <w:trHeight w:val="955"/>
        </w:trPr>
        <w:tc>
          <w:tcPr>
            <w:tcW w:w="2628" w:type="dxa"/>
            <w:vAlign w:val="center"/>
          </w:tcPr>
          <w:p w14:paraId="31197B4C" w14:textId="77777777" w:rsidR="001535CD" w:rsidRPr="00E46940" w:rsidRDefault="001535CD" w:rsidP="005239E5">
            <w:pPr>
              <w:contextualSpacing/>
              <w:rPr>
                <w:rFonts w:cs="Arial"/>
                <w:b/>
              </w:rPr>
            </w:pPr>
            <w:r>
              <w:rPr>
                <w:b/>
              </w:rPr>
              <w:t>Análise estatística</w:t>
            </w:r>
          </w:p>
          <w:p w14:paraId="399BF2BE" w14:textId="77777777" w:rsidR="001535CD" w:rsidRPr="00E46940" w:rsidRDefault="001535CD" w:rsidP="005239E5">
            <w:pPr>
              <w:contextualSpacing/>
              <w:rPr>
                <w:rFonts w:cs="Arial"/>
                <w:b/>
              </w:rPr>
            </w:pPr>
          </w:p>
        </w:tc>
        <w:tc>
          <w:tcPr>
            <w:tcW w:w="5894" w:type="dxa"/>
            <w:vAlign w:val="center"/>
          </w:tcPr>
          <w:p w14:paraId="2EBC3E96" w14:textId="3B2CD2D5" w:rsidR="001535CD" w:rsidRPr="00E46940" w:rsidRDefault="00E70B9C" w:rsidP="00B9191E">
            <w:pPr>
              <w:contextualSpacing/>
              <w:jc w:val="both"/>
              <w:rPr>
                <w:rFonts w:cs="Arial"/>
              </w:rPr>
            </w:pPr>
            <w:r>
              <w:t>As análises serão realizadas seguindo o princípio da "intenção de tratar", incluindo todos os pacientes com um resultado registrado. Um resumo estatístico para cada grupo, efeitos do tratamento, intervalos de confiança de 95% e valores-</w:t>
            </w:r>
            <w:r>
              <w:rPr>
                <w:i/>
              </w:rPr>
              <w:t>p</w:t>
            </w:r>
            <w:r>
              <w:t xml:space="preserve"> serão apresentados para os resultados </w:t>
            </w:r>
            <w:r>
              <w:lastRenderedPageBreak/>
              <w:t>primários e secundários</w:t>
            </w:r>
            <w:r w:rsidR="008752D3">
              <w:t>,</w:t>
            </w:r>
            <w:r>
              <w:t xml:space="preserve"> e as medidas de processo. O resultado primário de uma infecção pós-operatória</w:t>
            </w:r>
            <w:r w:rsidR="00DD66BF">
              <w:t>,</w:t>
            </w:r>
            <w:r>
              <w:t xml:space="preserve"> </w:t>
            </w:r>
            <w:r w:rsidR="00B9191E">
              <w:t xml:space="preserve">que </w:t>
            </w:r>
            <w:r w:rsidR="00DD66BF">
              <w:t xml:space="preserve">ocorre </w:t>
            </w:r>
            <w:r>
              <w:t xml:space="preserve">dentro de 30 dias </w:t>
            </w:r>
            <w:r w:rsidR="00A4630A">
              <w:t xml:space="preserve">após a </w:t>
            </w:r>
            <w:r>
              <w:t>randomização</w:t>
            </w:r>
            <w:r w:rsidR="00DD66BF">
              <w:t>,</w:t>
            </w:r>
            <w:r>
              <w:t xml:space="preserve"> será analisado usando um modelo de regressão logística de efeito misto ajustado para covariáveis pré-especificadas com interceptação aleatória por país.</w:t>
            </w:r>
          </w:p>
        </w:tc>
      </w:tr>
      <w:tr w:rsidR="001535CD" w:rsidRPr="001F5492" w14:paraId="5F12439C" w14:textId="77777777" w:rsidTr="00476DCD">
        <w:trPr>
          <w:trHeight w:val="718"/>
        </w:trPr>
        <w:tc>
          <w:tcPr>
            <w:tcW w:w="2628" w:type="dxa"/>
            <w:vAlign w:val="center"/>
          </w:tcPr>
          <w:p w14:paraId="22C602E1" w14:textId="77777777" w:rsidR="001535CD" w:rsidRPr="00E46940" w:rsidRDefault="001535CD" w:rsidP="005239E5">
            <w:pPr>
              <w:contextualSpacing/>
              <w:rPr>
                <w:rFonts w:cs="Arial"/>
                <w:b/>
              </w:rPr>
            </w:pPr>
            <w:r>
              <w:rPr>
                <w:b/>
              </w:rPr>
              <w:lastRenderedPageBreak/>
              <w:t>Data de início proposta</w:t>
            </w:r>
          </w:p>
        </w:tc>
        <w:tc>
          <w:tcPr>
            <w:tcW w:w="5894" w:type="dxa"/>
            <w:vAlign w:val="center"/>
          </w:tcPr>
          <w:p w14:paraId="21694895" w14:textId="77777777" w:rsidR="001535CD" w:rsidRPr="00E46940" w:rsidRDefault="001535CD" w:rsidP="005239E5">
            <w:pPr>
              <w:contextualSpacing/>
              <w:jc w:val="both"/>
              <w:rPr>
                <w:rFonts w:cs="Arial"/>
              </w:rPr>
            </w:pPr>
            <w:r>
              <w:t>Outubro de 2016</w:t>
            </w:r>
          </w:p>
        </w:tc>
      </w:tr>
      <w:tr w:rsidR="001535CD" w:rsidRPr="001F5492" w14:paraId="5811E7C4" w14:textId="77777777" w:rsidTr="00476DCD">
        <w:trPr>
          <w:trHeight w:val="718"/>
        </w:trPr>
        <w:tc>
          <w:tcPr>
            <w:tcW w:w="2628" w:type="dxa"/>
            <w:vAlign w:val="center"/>
          </w:tcPr>
          <w:p w14:paraId="5AB89C73" w14:textId="77777777" w:rsidR="001535CD" w:rsidRPr="00E46940" w:rsidRDefault="001535CD" w:rsidP="005239E5">
            <w:pPr>
              <w:contextualSpacing/>
              <w:rPr>
                <w:rFonts w:cs="Arial"/>
                <w:b/>
              </w:rPr>
            </w:pPr>
            <w:r>
              <w:rPr>
                <w:b/>
              </w:rPr>
              <w:t>Data de encerramento proposta</w:t>
            </w:r>
          </w:p>
        </w:tc>
        <w:tc>
          <w:tcPr>
            <w:tcW w:w="5894" w:type="dxa"/>
            <w:vAlign w:val="center"/>
          </w:tcPr>
          <w:p w14:paraId="7756CD61" w14:textId="77777777" w:rsidR="001535CD" w:rsidRPr="00E46940" w:rsidRDefault="00E70B9C" w:rsidP="005239E5">
            <w:pPr>
              <w:contextualSpacing/>
              <w:jc w:val="both"/>
              <w:rPr>
                <w:rFonts w:cs="Arial"/>
              </w:rPr>
            </w:pPr>
            <w:r>
              <w:t>Outubro de 2020</w:t>
            </w:r>
          </w:p>
        </w:tc>
      </w:tr>
      <w:tr w:rsidR="001535CD" w:rsidRPr="001F5492" w14:paraId="47B97183" w14:textId="77777777" w:rsidTr="00476DCD">
        <w:trPr>
          <w:trHeight w:val="718"/>
        </w:trPr>
        <w:tc>
          <w:tcPr>
            <w:tcW w:w="2628" w:type="dxa"/>
            <w:vAlign w:val="center"/>
          </w:tcPr>
          <w:p w14:paraId="41F528D6" w14:textId="77777777" w:rsidR="001535CD" w:rsidRPr="00E46940" w:rsidRDefault="001535CD" w:rsidP="005239E5">
            <w:pPr>
              <w:contextualSpacing/>
              <w:rPr>
                <w:rFonts w:cs="Arial"/>
                <w:b/>
              </w:rPr>
            </w:pPr>
            <w:r>
              <w:rPr>
                <w:b/>
              </w:rPr>
              <w:t>Duração do estudo</w:t>
            </w:r>
          </w:p>
        </w:tc>
        <w:tc>
          <w:tcPr>
            <w:tcW w:w="5894" w:type="dxa"/>
            <w:vAlign w:val="center"/>
          </w:tcPr>
          <w:p w14:paraId="752C8363" w14:textId="77777777" w:rsidR="001535CD" w:rsidRPr="00E46940" w:rsidRDefault="001535CD" w:rsidP="005239E5">
            <w:pPr>
              <w:pStyle w:val="BodyText2"/>
              <w:contextualSpacing/>
              <w:jc w:val="both"/>
              <w:rPr>
                <w:rFonts w:cs="Arial"/>
                <w:b/>
                <w:szCs w:val="22"/>
              </w:rPr>
            </w:pPr>
            <w:r>
              <w:rPr>
                <w:color w:val="auto"/>
              </w:rPr>
              <w:t>48 meses</w:t>
            </w:r>
          </w:p>
        </w:tc>
      </w:tr>
    </w:tbl>
    <w:p w14:paraId="304494DE" w14:textId="77777777" w:rsidR="001535CD" w:rsidRDefault="001535CD" w:rsidP="005239E5">
      <w:pPr>
        <w:contextualSpacing/>
        <w:rPr>
          <w:b/>
          <w:kern w:val="32"/>
          <w:szCs w:val="20"/>
        </w:rPr>
      </w:pPr>
      <w:bookmarkStart w:id="10" w:name="_Toc331159145"/>
      <w:r>
        <w:br w:type="page"/>
      </w:r>
    </w:p>
    <w:p w14:paraId="520FE02A" w14:textId="41A10255" w:rsidR="001535CD" w:rsidRPr="009100ED" w:rsidRDefault="00544CBF" w:rsidP="005239E5">
      <w:pPr>
        <w:pStyle w:val="Heading1"/>
        <w:spacing w:before="0" w:after="0"/>
        <w:ind w:left="0" w:firstLine="0"/>
        <w:contextualSpacing/>
      </w:pPr>
      <w:bookmarkStart w:id="11" w:name="_Toc466030500"/>
      <w:bookmarkStart w:id="12" w:name="_Toc508183521"/>
      <w:r w:rsidRPr="000022CE">
        <w:lastRenderedPageBreak/>
        <w:t xml:space="preserve">4. </w:t>
      </w:r>
      <w:r w:rsidRPr="000022CE">
        <w:tab/>
        <w:t>INTRODUÇÃO</w:t>
      </w:r>
      <w:bookmarkEnd w:id="10"/>
      <w:bookmarkEnd w:id="11"/>
      <w:bookmarkEnd w:id="12"/>
    </w:p>
    <w:p w14:paraId="46178B17" w14:textId="20FEB2A7" w:rsidR="00E70B9C" w:rsidRPr="00E70B9C" w:rsidRDefault="00E70B9C" w:rsidP="005239E5">
      <w:pPr>
        <w:contextualSpacing/>
        <w:jc w:val="both"/>
        <w:rPr>
          <w:rFonts w:ascii="Gill Sans MT" w:hAnsi="Gill Sans MT" w:cs="Arial"/>
        </w:rPr>
      </w:pPr>
      <w:bookmarkStart w:id="13" w:name="_Toc331159146"/>
      <w:r>
        <w:t xml:space="preserve">As estimativas sugerem que mais de 300 milhões de pacientes em todo o mundo são submetidos anualmente a uma cirurgia, com uma mortalidade entre 1 e 4% </w:t>
      </w:r>
      <w:r w:rsidR="00966C85">
        <w:fldChar w:fldCharType="begin">
          <w:fldData xml:space="preserve">PEVuZE5vdGU+PENpdGU+PEF1dGhvcj5XZWlzZXI8L0F1dGhvcj48WWVhcj4yMDE1PC9ZZWFyPjxS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dGxlPjxhYmJyLTE+TGFuY2V0PC9hYmJyLTE+PC9hbHQtcGVyaW9kaWNhbD48cGFnZXM+MTA1OS02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==
</w:fldData>
        </w:fldChar>
      </w:r>
      <w:r w:rsidR="008A162D">
        <w:instrText xml:space="preserve"> ADDIN EN.CITE </w:instrText>
      </w:r>
      <w:r w:rsidR="00966C85">
        <w:fldChar w:fldCharType="begin">
          <w:fldData xml:space="preserve">PEVuZE5vdGU+PENpdGU+PEF1dGhvcj5XZWlzZXI8L0F1dGhvcj48WWVhcj4yMDE1PC9ZZWFyPjxS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dGxlPjxhYmJyLTE+TGFuY2V0PC9hYmJyLTE+PC9hbHQtcGVyaW9kaWNhbD48cGFnZXM+MTA1OS02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==
</w:fldData>
        </w:fldChar>
      </w:r>
      <w:r w:rsidR="008A162D">
        <w:instrText xml:space="preserve"> ADDIN EN.CITE.DATA </w:instrText>
      </w:r>
      <w:r w:rsidR="00966C85">
        <w:fldChar w:fldCharType="end"/>
      </w:r>
      <w:r w:rsidR="00966C85">
        <w:fldChar w:fldCharType="separate"/>
      </w:r>
      <w:r w:rsidR="008A162D">
        <w:rPr>
          <w:noProof/>
        </w:rPr>
        <w:t>(</w:t>
      </w:r>
      <w:hyperlink w:anchor="_ENREF_1" w:tooltip="Weiser, 2015 #65" w:history="1">
        <w:r w:rsidR="00553CDA">
          <w:rPr>
            <w:noProof/>
          </w:rPr>
          <w:t>1</w:t>
        </w:r>
      </w:hyperlink>
      <w:r w:rsidR="008A162D">
        <w:rPr>
          <w:noProof/>
        </w:rPr>
        <w:t>,</w:t>
      </w:r>
      <w:r w:rsidR="006651E5">
        <w:rPr>
          <w:noProof/>
        </w:rPr>
        <w:t> </w:t>
      </w:r>
      <w:hyperlink w:anchor="_ENREF_2" w:tooltip="Pearse, 2012 #6" w:history="1">
        <w:r w:rsidR="00553CDA">
          <w:rPr>
            <w:noProof/>
          </w:rPr>
          <w:t>2</w:t>
        </w:r>
      </w:hyperlink>
      <w:r w:rsidR="008A162D">
        <w:rPr>
          <w:noProof/>
        </w:rPr>
        <w:t>)</w:t>
      </w:r>
      <w:r w:rsidR="00966C85">
        <w:fldChar w:fldCharType="end"/>
      </w:r>
      <w:r>
        <w:t xml:space="preserve">. Complicações e óbitos são mais frequentes entre os pacientes de alto risco: pacientes idosos ou com doença comórbida submetidos a uma cirurgia gastrointestinal ou vascular de grande porte. É importante destacar que os pacientes que desenvolvem complicações, mas que sobrevivem e recebem alta hospitalar, sofrem uma redução da </w:t>
      </w:r>
      <w:r w:rsidR="005A554F">
        <w:t>sobrevida de</w:t>
      </w:r>
      <w:r>
        <w:t xml:space="preserve"> longo prazo </w:t>
      </w:r>
      <w:r w:rsidR="00966C85">
        <w:fldChar w:fldCharType="begin">
          <w:fldData xml:space="preserve">PEVuZE5vdGU+PENpdGU+PEF1dGhvcj5IZWFkPC9BdXRob3I+PFllYXI+MjAwODwvWWVhcj48UmVj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</w:fldData>
        </w:fldChar>
      </w:r>
      <w:r w:rsidR="008A162D">
        <w:instrText xml:space="preserve"> ADDIN EN.CITE </w:instrText>
      </w:r>
      <w:r w:rsidR="00966C85">
        <w:fldChar w:fldCharType="begin">
          <w:fldData xml:space="preserve">PEVuZE5vdGU+PENpdGU+PEF1dGhvcj5IZWFkPC9BdXRob3I+PFllYXI+MjAwODwvWWVhcj48UmVj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</w:fldData>
        </w:fldChar>
      </w:r>
      <w:r w:rsidR="008A162D">
        <w:instrText xml:space="preserve"> ADDIN EN.CITE.DATA </w:instrText>
      </w:r>
      <w:r w:rsidR="00966C85">
        <w:fldChar w:fldCharType="end"/>
      </w:r>
      <w:r w:rsidR="00966C85">
        <w:fldChar w:fldCharType="separate"/>
      </w:r>
      <w:r w:rsidR="008A162D">
        <w:rPr>
          <w:noProof/>
        </w:rPr>
        <w:t>(</w:t>
      </w:r>
      <w:hyperlink w:anchor="_ENREF_3" w:tooltip="Head, 2008 #39" w:history="1">
        <w:r w:rsidR="00553CDA">
          <w:rPr>
            <w:noProof/>
          </w:rPr>
          <w:t>3</w:t>
        </w:r>
      </w:hyperlink>
      <w:r w:rsidR="008A162D">
        <w:rPr>
          <w:noProof/>
        </w:rPr>
        <w:t xml:space="preserve">, </w:t>
      </w:r>
      <w:hyperlink w:anchor="_ENREF_4" w:tooltip="Khuri, 2005 #30" w:history="1">
        <w:r w:rsidR="00553CDA">
          <w:rPr>
            <w:noProof/>
          </w:rPr>
          <w:t>4</w:t>
        </w:r>
      </w:hyperlink>
      <w:r w:rsidR="008A162D">
        <w:rPr>
          <w:noProof/>
        </w:rPr>
        <w:t>)</w:t>
      </w:r>
      <w:r w:rsidR="00966C85">
        <w:fldChar w:fldCharType="end"/>
      </w:r>
      <w:r>
        <w:t>.</w:t>
      </w:r>
    </w:p>
    <w:p w14:paraId="103FD769" w14:textId="77777777" w:rsidR="00E70B9C" w:rsidRPr="00E70B9C" w:rsidRDefault="00E70B9C" w:rsidP="005239E5">
      <w:pPr>
        <w:contextualSpacing/>
        <w:jc w:val="both"/>
      </w:pPr>
    </w:p>
    <w:p w14:paraId="7C3799C1" w14:textId="661864D1" w:rsidR="00E70B9C" w:rsidRPr="00E70B9C" w:rsidRDefault="00E70B9C" w:rsidP="005239E5">
      <w:pPr>
        <w:contextualSpacing/>
        <w:jc w:val="both"/>
      </w:pPr>
      <w:r>
        <w:t xml:space="preserve">É geralmente aceito que os fluidos intravenosos e os medicamentos inotrópicos possuem um efeito importante nos resultados dos pacientes, especialmente após uma cirurgia gastrointestinal de grande porte. No entanto, eles são comumente prescritos com base em critérios subjetivos, causando grande variação na prática clínica. Uma solução possível é o uso do monitoramento do débito cardíaco para guiar o fluido intravenoso e os medicamentos inotrópicos como parte de um algoritmo de terapia hemodinâmica. Esta abordagem foi estudada por muitos anos e demonstrou modificar </w:t>
      </w:r>
      <w:r w:rsidR="00C73D9C">
        <w:t xml:space="preserve">vias </w:t>
      </w:r>
      <w:r>
        <w:t>inflamatóri</w:t>
      </w:r>
      <w:r w:rsidR="00C73D9C">
        <w:t>a</w:t>
      </w:r>
      <w:r>
        <w:t xml:space="preserve">s e melhorar a perfusão e a oxigenação dos tecidos </w:t>
      </w:r>
      <w:r w:rsidR="00966C85">
        <w:fldChar w:fldCharType="begin">
          <w:fldData xml:space="preserve">PEVuZE5vdGU+PENpdGU+PEF1dGhvcj5CYW5nYXNoPC9BdXRob3I+PFllYXI+MjAxMzwvWWVhcj48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</w:fldData>
        </w:fldChar>
      </w:r>
      <w:r w:rsidR="008A162D">
        <w:instrText xml:space="preserve"> ADDIN EN.CITE </w:instrText>
      </w:r>
      <w:r w:rsidR="00966C85">
        <w:fldChar w:fldCharType="begin">
          <w:fldData xml:space="preserve">PEVuZE5vdGU+PENpdGU+PEF1dGhvcj5CYW5nYXNoPC9BdXRob3I+PFllYXI+MjAxMzwvWWVhcj48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</w:fldData>
        </w:fldChar>
      </w:r>
      <w:r w:rsidR="008A162D">
        <w:instrText xml:space="preserve"> ADDIN EN.CITE.DATA </w:instrText>
      </w:r>
      <w:r w:rsidR="00966C85">
        <w:fldChar w:fldCharType="end"/>
      </w:r>
      <w:r w:rsidR="00966C85">
        <w:fldChar w:fldCharType="separate"/>
      </w:r>
      <w:r w:rsidR="008A162D">
        <w:rPr>
          <w:noProof/>
        </w:rPr>
        <w:t>(</w:t>
      </w:r>
      <w:hyperlink w:anchor="_ENREF_5" w:tooltip="Bangash, 2013 #3" w:history="1">
        <w:r w:rsidR="00553CDA">
          <w:rPr>
            <w:noProof/>
          </w:rPr>
          <w:t>5</w:t>
        </w:r>
      </w:hyperlink>
      <w:r w:rsidR="008A162D">
        <w:rPr>
          <w:noProof/>
        </w:rPr>
        <w:t xml:space="preserve">, </w:t>
      </w:r>
      <w:hyperlink w:anchor="_ENREF_6" w:tooltip="Jhanji, 2010 #2" w:history="1">
        <w:r w:rsidR="00553CDA">
          <w:rPr>
            <w:noProof/>
          </w:rPr>
          <w:t>6</w:t>
        </w:r>
      </w:hyperlink>
      <w:r w:rsidR="008A162D">
        <w:rPr>
          <w:noProof/>
        </w:rPr>
        <w:t>)</w:t>
      </w:r>
      <w:r w:rsidR="00966C85">
        <w:fldChar w:fldCharType="end"/>
      </w:r>
      <w:r>
        <w:t xml:space="preserve">. </w:t>
      </w:r>
      <w:r w:rsidR="00544CBF" w:rsidRPr="000022CE">
        <w:t>O uso de algoritmos de</w:t>
      </w:r>
      <w:r>
        <w:t xml:space="preserve"> terapia hemodinâmica foi recomendado em um relatório encomendado pelo </w:t>
      </w:r>
      <w:r w:rsidR="00966C85" w:rsidRPr="00D91233">
        <w:rPr>
          <w:i/>
        </w:rPr>
        <w:t xml:space="preserve">Centers for Medicare </w:t>
      </w:r>
      <w:r w:rsidR="00F579BC">
        <w:rPr>
          <w:i/>
        </w:rPr>
        <w:t>and</w:t>
      </w:r>
      <w:r w:rsidR="00966C85" w:rsidRPr="00D91233">
        <w:rPr>
          <w:i/>
        </w:rPr>
        <w:t xml:space="preserve"> Medicaid Services</w:t>
      </w:r>
      <w:r>
        <w:t xml:space="preserve"> nos EUA e pelo </w:t>
      </w:r>
      <w:r w:rsidR="00966C85" w:rsidRPr="00D91233">
        <w:rPr>
          <w:i/>
        </w:rPr>
        <w:t>National Institute for Health and Care Excellence</w:t>
      </w:r>
      <w:r>
        <w:t xml:space="preserve"> (NICE) no Reino Unido. Contudo, uma revisão Cochrane recente suger</w:t>
      </w:r>
      <w:r w:rsidR="00956E4A">
        <w:t>iu</w:t>
      </w:r>
      <w:r>
        <w:t xml:space="preserve"> que os benefícios do tratamento podem ser mais marginais do que se acreditava anteriormente </w:t>
      </w:r>
      <w:r w:rsidR="00966C85">
        <w:fldChar w:fldCharType="begin">
          <w:fldData xml:space="preserve">PEVuZE5vdGU+PENpdGU+PEF1dGhvcj5Hcm9jb3R0PC9BdXRob3I+PFllYXI+MjAxMjwvWWVhcj48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Y2FsPjxwYWdlcz5DRDAwNDA4MjwvcGFnZXM+PHZvbHVtZT4xMTwvdm9sdW1lPjxrZXl3b3Jkcz48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</w:fldData>
        </w:fldChar>
      </w:r>
      <w:r w:rsidR="009A2117">
        <w:instrText xml:space="preserve"> ADDIN EN.CITE </w:instrText>
      </w:r>
      <w:r w:rsidR="00966C85">
        <w:fldChar w:fldCharType="begin">
          <w:fldData xml:space="preserve">PEVuZE5vdGU+PENpdGU+PEF1dGhvcj5Hcm9jb3R0PC9BdXRob3I+PFllYXI+MjAxMjwvWWVhcj48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Y2FsPjxwYWdlcz5DRDAwNDA4MjwvcGFnZXM+PHZvbHVtZT4xMTwvdm9sdW1lPjxrZXl3b3Jkcz48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</w:fldData>
        </w:fldChar>
      </w:r>
      <w:r w:rsidR="009A2117">
        <w:instrText xml:space="preserve"> ADDIN EN.CITE.DATA </w:instrText>
      </w:r>
      <w:r w:rsidR="00966C85">
        <w:fldChar w:fldCharType="end"/>
      </w:r>
      <w:r w:rsidR="00966C85">
        <w:fldChar w:fldCharType="separate"/>
      </w:r>
      <w:r w:rsidR="009A2117">
        <w:rPr>
          <w:noProof/>
        </w:rPr>
        <w:t>(</w:t>
      </w:r>
      <w:hyperlink w:anchor="_ENREF_7" w:tooltip="Grocott, 2012 #31" w:history="1">
        <w:r w:rsidR="00553CDA">
          <w:rPr>
            <w:noProof/>
          </w:rPr>
          <w:t>7</w:t>
        </w:r>
      </w:hyperlink>
      <w:r w:rsidR="009A2117">
        <w:rPr>
          <w:noProof/>
        </w:rPr>
        <w:t>)</w:t>
      </w:r>
      <w:r w:rsidR="00966C85">
        <w:fldChar w:fldCharType="end"/>
      </w:r>
      <w:r>
        <w:t xml:space="preserve">. As evidências atuais foram obtidas principalmente em </w:t>
      </w:r>
      <w:r w:rsidR="00E43DDD">
        <w:t>estudo</w:t>
      </w:r>
      <w:r>
        <w:t xml:space="preserve">s pequenos e são insuficientes para solucionar as controvérsias relacionadas ao dano potencial associado ao excesso de fluido, à lesão miocárdica e às formas invasivas de monitoramento. Como resultado, este tratamento não foi amplamente adotado na prática clínica. O </w:t>
      </w:r>
      <w:r w:rsidR="00966C85" w:rsidRPr="00D91233">
        <w:rPr>
          <w:i/>
        </w:rPr>
        <w:t>Hospital Episode Statistics</w:t>
      </w:r>
      <w:r>
        <w:t xml:space="preserve"> sugere que cerca de 50 mil pacientes do NHS (Sistema Nacional de Saúde do Reino Unido) podem beneficiar-se </w:t>
      </w:r>
      <w:r w:rsidR="00956E4A">
        <w:t>d</w:t>
      </w:r>
      <w:r>
        <w:t xml:space="preserve">este tratamento, mas os dados de um </w:t>
      </w:r>
      <w:r w:rsidR="00956E4A">
        <w:t xml:space="preserve">grande </w:t>
      </w:r>
      <w:r>
        <w:t>estudo prospectivo demonstraram que este tratamento é utilizado somente em menos de um terço des</w:t>
      </w:r>
      <w:r w:rsidR="009863B1">
        <w:t>s</w:t>
      </w:r>
      <w:r>
        <w:t xml:space="preserve">es casos </w:t>
      </w:r>
      <w:r w:rsidR="00966C85">
        <w:fldChar w:fldCharType="begin">
          <w:fldData xml:space="preserve">PEVuZE5vdGU+PENpdGU+PEF1dGhvcj5BaG1hZDwvQXV0aG9yPjxZZWFyPjIwMTU8L1llYXI+PFJl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YW5jZXQ8L2FiYnItMT48L2FsdC1wZXJpb2RpY2FsPjxwYWdlcz4xMDU5LTY1PC9wYWdlcz48dm9s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</w:fldData>
        </w:fldChar>
      </w:r>
      <w:r w:rsidR="009A2117">
        <w:instrText xml:space="preserve"> ADDIN EN.CITE </w:instrText>
      </w:r>
      <w:r w:rsidR="00966C85">
        <w:fldChar w:fldCharType="begin">
          <w:fldData xml:space="preserve">PEVuZE5vdGU+PENpdGU+PEF1dGhvcj5BaG1hZDwvQXV0aG9yPjxZZWFyPjIwMTU8L1llYXI+PFJl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YW5jZXQ8L2FiYnItMT48L2FsdC1wZXJpb2RpY2FsPjxwYWdlcz4xMDU5LTY1PC9wYWdlcz48dm9s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</w:fldData>
        </w:fldChar>
      </w:r>
      <w:r w:rsidR="009A2117">
        <w:instrText xml:space="preserve"> ADDIN EN.CITE.DATA </w:instrText>
      </w:r>
      <w:r w:rsidR="00966C85">
        <w:fldChar w:fldCharType="end"/>
      </w:r>
      <w:r w:rsidR="00966C85">
        <w:fldChar w:fldCharType="separate"/>
      </w:r>
      <w:r w:rsidR="009A2117">
        <w:rPr>
          <w:noProof/>
        </w:rPr>
        <w:t>(</w:t>
      </w:r>
      <w:hyperlink w:anchor="_ENREF_2" w:tooltip="Pearse, 2012 #6" w:history="1">
        <w:r w:rsidR="00553CDA">
          <w:rPr>
            <w:noProof/>
          </w:rPr>
          <w:t>2</w:t>
        </w:r>
      </w:hyperlink>
      <w:r w:rsidR="009A2117">
        <w:rPr>
          <w:noProof/>
        </w:rPr>
        <w:t xml:space="preserve">, </w:t>
      </w:r>
      <w:hyperlink w:anchor="_ENREF_8" w:tooltip="Ahmad, 2015 #349" w:history="1">
        <w:r w:rsidR="00553CDA">
          <w:rPr>
            <w:noProof/>
          </w:rPr>
          <w:t>8</w:t>
        </w:r>
      </w:hyperlink>
      <w:r w:rsidR="009A2117">
        <w:rPr>
          <w:noProof/>
        </w:rPr>
        <w:t>)</w:t>
      </w:r>
      <w:r w:rsidR="00966C85">
        <w:fldChar w:fldCharType="end"/>
      </w:r>
      <w:r>
        <w:t>.</w:t>
      </w:r>
    </w:p>
    <w:p w14:paraId="7C126D4E" w14:textId="77777777" w:rsidR="00E70B9C" w:rsidRPr="00E70B9C" w:rsidRDefault="00E70B9C" w:rsidP="005239E5">
      <w:pPr>
        <w:contextualSpacing/>
        <w:jc w:val="both"/>
      </w:pPr>
    </w:p>
    <w:p w14:paraId="69F854A0" w14:textId="50E08FF3" w:rsidR="00E70B9C" w:rsidRDefault="00E70B9C" w:rsidP="005239E5">
      <w:pPr>
        <w:contextualSpacing/>
        <w:jc w:val="both"/>
        <w:rPr>
          <w:rFonts w:cs="Arial"/>
          <w:szCs w:val="22"/>
        </w:rPr>
      </w:pPr>
      <w:r>
        <w:t xml:space="preserve">Mais recentemente foi completado o maior estudo clínico já realizado, o </w:t>
      </w:r>
      <w:r w:rsidR="00E43DDD">
        <w:t>estudo</w:t>
      </w:r>
      <w:r>
        <w:t xml:space="preserve"> clínico multicêntrico OPTIMISE, </w:t>
      </w:r>
      <w:r w:rsidR="00966C85">
        <w:rPr>
          <w:rFonts w:cs="Arial"/>
          <w:szCs w:val="22"/>
        </w:rPr>
        <w:fldChar w:fldCharType="begin">
          <w:fldData xml:space="preserve">PEVuZE5vdGU+PENpdGU+PEF1dGhvcj5QZWFyc2U8L0F1dGhvcj48WWVhcj4yMDE0PC9ZZWFyPjxS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cz4yMTgxLTkwPC9wYWdlcz48dm9sdW1lPjMxMTwvdm9sdW1lPjxudW1iZXI+MjE8L251bWJlcj48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</w:fldData>
        </w:fldChar>
      </w:r>
      <w:r w:rsidR="009A2117">
        <w:rPr>
          <w:rFonts w:cs="Arial"/>
          <w:szCs w:val="22"/>
        </w:rPr>
        <w:instrText xml:space="preserve"> ADDIN EN.CITE </w:instrText>
      </w:r>
      <w:r w:rsidR="00966C85">
        <w:rPr>
          <w:rFonts w:cs="Arial"/>
          <w:szCs w:val="22"/>
        </w:rPr>
        <w:fldChar w:fldCharType="begin">
          <w:fldData xml:space="preserve">PEVuZE5vdGU+PENpdGU+PEF1dGhvcj5QZWFyc2U8L0F1dGhvcj48WWVhcj4yMDE0PC9ZZWFyPjxS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cz4yMTgxLTkwPC9wYWdlcz48dm9sdW1lPjMxMTwvdm9sdW1lPjxudW1iZXI+MjE8L251bWJlcj48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</w:fldData>
        </w:fldChar>
      </w:r>
      <w:r w:rsidR="009A2117">
        <w:rPr>
          <w:rFonts w:cs="Arial"/>
          <w:szCs w:val="22"/>
        </w:rPr>
        <w:instrText xml:space="preserve"> ADDIN EN.CITE.DATA </w:instrText>
      </w:r>
      <w:r w:rsidR="00966C85">
        <w:rPr>
          <w:rFonts w:cs="Arial"/>
          <w:szCs w:val="22"/>
        </w:rPr>
      </w:r>
      <w:r w:rsidR="00966C85">
        <w:rPr>
          <w:rFonts w:cs="Arial"/>
          <w:szCs w:val="22"/>
        </w:rPr>
        <w:fldChar w:fldCharType="end"/>
      </w:r>
      <w:r w:rsidR="00966C85">
        <w:rPr>
          <w:rFonts w:cs="Arial"/>
          <w:szCs w:val="22"/>
        </w:rPr>
      </w:r>
      <w:r w:rsidR="00966C85">
        <w:rPr>
          <w:rFonts w:cs="Arial"/>
          <w:szCs w:val="22"/>
        </w:rPr>
        <w:fldChar w:fldCharType="separate"/>
      </w:r>
      <w:r w:rsidR="009A2117">
        <w:rPr>
          <w:rFonts w:cs="Arial"/>
          <w:noProof/>
          <w:szCs w:val="22"/>
        </w:rPr>
        <w:t>(</w:t>
      </w:r>
      <w:hyperlink w:anchor="_ENREF_9" w:tooltip="Pearse, 2014 #5" w:history="1">
        <w:r w:rsidR="00553CDA">
          <w:rPr>
            <w:rFonts w:cs="Arial"/>
            <w:noProof/>
            <w:szCs w:val="22"/>
          </w:rPr>
          <w:t>9</w:t>
        </w:r>
      </w:hyperlink>
      <w:r w:rsidR="009A2117">
        <w:rPr>
          <w:rFonts w:cs="Arial"/>
          <w:noProof/>
          <w:szCs w:val="22"/>
        </w:rPr>
        <w:t>)</w:t>
      </w:r>
      <w:r w:rsidR="00966C85">
        <w:rPr>
          <w:rFonts w:cs="Arial"/>
          <w:szCs w:val="22"/>
        </w:rPr>
        <w:fldChar w:fldCharType="end"/>
      </w:r>
      <w:r>
        <w:t>. O algoritmo da intervenção consistia em fluidoterapia guiada por volume sistólico e medicamento inotrópico em dose baixa (dopexamina) durante e por 6 horas após a cirurgia. O resultado primário (complicações pós-operatórias moderadas ou graves aos 30 dias) foi alcançado em 37% (134 de 366) dos pacientes no grupo</w:t>
      </w:r>
      <w:r w:rsidR="00D91233">
        <w:t xml:space="preserve"> de</w:t>
      </w:r>
      <w:r>
        <w:t xml:space="preserve"> intervenção e em 43% (158 de 364) </w:t>
      </w:r>
      <w:r>
        <w:lastRenderedPageBreak/>
        <w:t>dos pacientes no grupo de tratamento habitual com cuidados padrão (risco relativo</w:t>
      </w:r>
      <w:r w:rsidR="00B662A0">
        <w:t xml:space="preserve"> [RR]</w:t>
      </w:r>
      <w:r>
        <w:t xml:space="preserve"> de 0,84 [0,71-1,01]; p=0,07). Foram registradas complicações infecciosas pós</w:t>
      </w:r>
      <w:r w:rsidR="0042103C">
        <w:noBreakHyphen/>
      </w:r>
      <w:r>
        <w:t>operatórias que incluem infecção de ferida, de órgão/cavidade, pulmonar, urinária ou da corrente sanguínea em 24% dos pacientes no grupo</w:t>
      </w:r>
      <w:r w:rsidR="00D91233">
        <w:t xml:space="preserve"> de</w:t>
      </w:r>
      <w:r>
        <w:t xml:space="preserve"> intervenção </w:t>
      </w:r>
      <w:r>
        <w:rPr>
          <w:i/>
        </w:rPr>
        <w:t>versus</w:t>
      </w:r>
      <w:r>
        <w:t xml:space="preserve"> 30% dos pacientes no grupo controle (RR </w:t>
      </w:r>
      <w:r w:rsidR="00B662A0">
        <w:t xml:space="preserve">de </w:t>
      </w:r>
      <w:r>
        <w:t>0,80 [0,63-1,02]; p=0,08). As análises econômicas aplicadas à saúde sugerem que</w:t>
      </w:r>
      <w:r w:rsidR="001059D2">
        <w:t xml:space="preserve"> é</w:t>
      </w:r>
      <w:r>
        <w:t xml:space="preserve"> prov</w:t>
      </w:r>
      <w:r w:rsidR="001059D2">
        <w:t>ável que</w:t>
      </w:r>
      <w:r>
        <w:t xml:space="preserve"> a intervenção seja econômica </w:t>
      </w:r>
      <w:r w:rsidR="00966C85">
        <w:rPr>
          <w:rFonts w:cs="Arial"/>
          <w:szCs w:val="22"/>
        </w:rPr>
        <w:fldChar w:fldCharType="begin"/>
      </w:r>
      <w:r w:rsidR="00553CDA">
        <w:rPr>
          <w:rFonts w:cs="Arial"/>
          <w:szCs w:val="22"/>
        </w:rPr>
        <w:instrText xml:space="preserve"> ADDIN EN.CITE &lt;EndNote&gt;&lt;Cite&gt;&lt;Author&gt;Sadique&lt;/Author&gt;&lt;Year&gt;2015&lt;/Year&gt;&lt;RecNum&gt;348&lt;/RecNum&gt;&lt;DisplayText&gt;(10)&lt;/DisplayText&gt;&lt;record&gt;&lt;rec-number&gt;348&lt;/rec-number&gt;&lt;foreign-keys&gt;&lt;key app="EN" db-id="evs5prtate0zfle9fd6p5v5j595s2pfez5ae" timestamp="1475938313"&gt;348&lt;/key&gt;&lt;/foreign-keys&gt;&lt;ref-type name="Journal Article"&gt;17&lt;/ref-type&gt;&lt;contributors&gt;&lt;authors&gt;&lt;author&gt;Sadique, Z.&lt;/author&gt;&lt;author&gt;Harrison, D. A.&lt;/author&gt;&lt;author&gt;Grieve, R.&lt;/author&gt;&lt;author&gt;Rowan, K. M.&lt;/author&gt;&lt;author&gt;Pearse, R. M.&lt;/author&gt;&lt;author&gt;Optimise study group&lt;/author&gt;&lt;/authors&gt;&lt;/contributors&gt;&lt;auth-address&gt;Department of Health Services Research and Policy, London School of Hygiene and Tropical Medicine, London, UK.&amp;#xD;Intensive Care National Audit &amp;amp; Research Centre, London, UK.&amp;#xD;Queen Mary University of London, London, EC1M 6BQ UK ; Adult Critical Care Unit, Royal London Hospital, Whitechapel, London, E1 1BB UK.&lt;/auth-address&gt;&lt;titles&gt;&lt;title&gt;Cost-effectiveness of a cardiac output-guided haemodynamic therapy algorithm in high-risk patients undergoing major gastrointestinal surgery&lt;/title&gt;&lt;secondary-title&gt;Perioper Med (Lond)&lt;/secondary-title&gt;&lt;/titles&gt;&lt;periodical&gt;&lt;full-title&gt;Perioper Med (Lond)&lt;/full-title&gt;&lt;/periodical&gt;&lt;pages&gt;13&lt;/pages&gt;&lt;volume&gt;4&lt;/volume&gt;&lt;keywords&gt;&lt;keyword&gt;Cost-effectiveness analysis&lt;/keyword&gt;&lt;keyword&gt;Fluid therapy&lt;/keyword&gt;&lt;keyword&gt;Monitoring, CVS&lt;/keyword&gt;&lt;keyword&gt;Peri-operative care&lt;/keyword&gt;&lt;/keywords&gt;&lt;dates&gt;&lt;year&gt;2015&lt;/year&gt;&lt;/dates&gt;&lt;isbn&gt;2047-0525 (Electronic)&amp;#xD;2047-0525 (Linking)&lt;/isbn&gt;&lt;accession-num&gt;26674494&lt;/accession-num&gt;&lt;urls&gt;&lt;related-urls&gt;&lt;url&gt;https://www.ncbi.nlm.nih.gov/pubmed/26674494&lt;/url&gt;&lt;/related-urls&gt;&lt;/urls&gt;&lt;custom2&gt;PMC4678585&lt;/custom2&gt;&lt;electronic-resource-num&gt;10.1186/s13741-015-0024-x&lt;/electronic-resource-num&gt;&lt;/record&gt;&lt;/Cite&gt;&lt;/EndNote&gt;</w:instrText>
      </w:r>
      <w:r w:rsidR="00966C85">
        <w:rPr>
          <w:rFonts w:cs="Arial"/>
          <w:szCs w:val="22"/>
        </w:rPr>
        <w:fldChar w:fldCharType="separate"/>
      </w:r>
      <w:r w:rsidR="00553CDA">
        <w:rPr>
          <w:rFonts w:cs="Arial"/>
          <w:noProof/>
          <w:szCs w:val="22"/>
        </w:rPr>
        <w:t>(</w:t>
      </w:r>
      <w:hyperlink w:anchor="_ENREF_10" w:tooltip="Sadique, 2015 #348" w:history="1">
        <w:r w:rsidR="00553CDA">
          <w:rPr>
            <w:rFonts w:cs="Arial"/>
            <w:noProof/>
            <w:szCs w:val="22"/>
          </w:rPr>
          <w:t>10</w:t>
        </w:r>
      </w:hyperlink>
      <w:r w:rsidR="00553CDA">
        <w:rPr>
          <w:rFonts w:cs="Arial"/>
          <w:noProof/>
          <w:szCs w:val="22"/>
        </w:rPr>
        <w:t>)</w:t>
      </w:r>
      <w:r w:rsidR="00966C85">
        <w:rPr>
          <w:rFonts w:cs="Arial"/>
          <w:szCs w:val="22"/>
        </w:rPr>
        <w:fldChar w:fldCharType="end"/>
      </w:r>
      <w:r>
        <w:t xml:space="preserve">. As descobertas deste </w:t>
      </w:r>
      <w:r w:rsidR="00E43DDD">
        <w:t>estudo</w:t>
      </w:r>
      <w:r>
        <w:t xml:space="preserve"> clínico não confirmam nem contradizem o possível benefício des</w:t>
      </w:r>
      <w:r w:rsidR="0075674B">
        <w:t>s</w:t>
      </w:r>
      <w:r>
        <w:t xml:space="preserve">a abordagem terapêutica, possivelmente porque o </w:t>
      </w:r>
      <w:r w:rsidR="00E43DDD">
        <w:t>estudo</w:t>
      </w:r>
      <w:r>
        <w:t xml:space="preserve"> clínico teve baixo poder estatístico.</w:t>
      </w:r>
    </w:p>
    <w:p w14:paraId="76D371BD" w14:textId="77777777" w:rsidR="00A73C00" w:rsidRPr="00E70B9C" w:rsidRDefault="00A73C00" w:rsidP="005239E5">
      <w:pPr>
        <w:contextualSpacing/>
        <w:jc w:val="both"/>
        <w:rPr>
          <w:rFonts w:cs="Arial"/>
          <w:szCs w:val="22"/>
        </w:rPr>
      </w:pPr>
    </w:p>
    <w:p w14:paraId="28BF43EA" w14:textId="51FF37F1" w:rsidR="00E70B9C" w:rsidRDefault="00E70B9C" w:rsidP="005239E5">
      <w:pPr>
        <w:contextualSpacing/>
        <w:jc w:val="both"/>
        <w:rPr>
          <w:rFonts w:cs="Arial"/>
          <w:szCs w:val="22"/>
        </w:rPr>
      </w:pPr>
      <w:r>
        <w:t xml:space="preserve">A revisão sistemática Cochrane anterior foi atualizada com as descobertas do </w:t>
      </w:r>
      <w:r w:rsidR="00E43DDD">
        <w:t>estudo</w:t>
      </w:r>
      <w:r>
        <w:t xml:space="preserve"> OPTIMISE e de outros </w:t>
      </w:r>
      <w:r w:rsidR="00E43DDD">
        <w:t>estudo</w:t>
      </w:r>
      <w:r>
        <w:t xml:space="preserve">s clínicos publicados </w:t>
      </w:r>
      <w:r w:rsidR="00966C85">
        <w:rPr>
          <w:rFonts w:cs="Arial"/>
          <w:szCs w:val="22"/>
        </w:rPr>
        <w:fldChar w:fldCharType="begin">
          <w:fldData xml:space="preserve">PEVuZE5vdGU+PENpdGU+PEF1dGhvcj5QZWFyc2U8L0F1dGhvcj48WWVhcj4yMDE0PC9ZZWFyPjxS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cz4yMTgxLTkwPC9wYWdlcz48dm9sdW1lPjMxMTwvdm9sdW1lPjxudW1iZXI+MjE8L251bWJlcj48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</w:fldData>
        </w:fldChar>
      </w:r>
      <w:r w:rsidR="009A2117">
        <w:rPr>
          <w:rFonts w:cs="Arial"/>
          <w:szCs w:val="22"/>
        </w:rPr>
        <w:instrText xml:space="preserve"> ADDIN EN.CITE </w:instrText>
      </w:r>
      <w:r w:rsidR="00966C85">
        <w:rPr>
          <w:rFonts w:cs="Arial"/>
          <w:szCs w:val="22"/>
        </w:rPr>
        <w:fldChar w:fldCharType="begin">
          <w:fldData xml:space="preserve">PEVuZE5vdGU+PENpdGU+PEF1dGhvcj5QZWFyc2U8L0F1dGhvcj48WWVhcj4yMDE0PC9ZZWFyPjxS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</w:fldData>
        </w:fldChar>
      </w:r>
      <w:r w:rsidR="009A2117">
        <w:rPr>
          <w:rFonts w:cs="Arial"/>
          <w:szCs w:val="22"/>
        </w:rPr>
        <w:instrText xml:space="preserve"> ADDIN EN.CITE.DATA </w:instrText>
      </w:r>
      <w:r w:rsidR="00966C85">
        <w:rPr>
          <w:rFonts w:cs="Arial"/>
          <w:szCs w:val="22"/>
        </w:rPr>
      </w:r>
      <w:r w:rsidR="00966C85">
        <w:rPr>
          <w:rFonts w:cs="Arial"/>
          <w:szCs w:val="22"/>
        </w:rPr>
        <w:fldChar w:fldCharType="end"/>
      </w:r>
      <w:r w:rsidR="00966C85">
        <w:rPr>
          <w:rFonts w:cs="Arial"/>
          <w:szCs w:val="22"/>
        </w:rPr>
      </w:r>
      <w:r w:rsidR="00966C85">
        <w:rPr>
          <w:rFonts w:cs="Arial"/>
          <w:szCs w:val="22"/>
        </w:rPr>
        <w:fldChar w:fldCharType="separate"/>
      </w:r>
      <w:r w:rsidR="009A2117">
        <w:rPr>
          <w:rFonts w:cs="Arial"/>
          <w:noProof/>
          <w:szCs w:val="22"/>
        </w:rPr>
        <w:t>(</w:t>
      </w:r>
      <w:hyperlink w:anchor="_ENREF_9" w:tooltip="Pearse, 2014 #5" w:history="1">
        <w:r w:rsidR="00553CDA">
          <w:rPr>
            <w:rFonts w:cs="Arial"/>
            <w:noProof/>
            <w:szCs w:val="22"/>
          </w:rPr>
          <w:t>9</w:t>
        </w:r>
      </w:hyperlink>
      <w:r w:rsidR="009A2117">
        <w:rPr>
          <w:rFonts w:cs="Arial"/>
          <w:noProof/>
          <w:szCs w:val="22"/>
        </w:rPr>
        <w:t>)</w:t>
      </w:r>
      <w:r w:rsidR="00966C85">
        <w:rPr>
          <w:rFonts w:cs="Arial"/>
          <w:szCs w:val="22"/>
        </w:rPr>
        <w:fldChar w:fldCharType="end"/>
      </w:r>
      <w:r w:rsidR="00966C85" w:rsidRPr="00E70B9C">
        <w:rPr>
          <w:rFonts w:cs="Arial"/>
          <w:szCs w:val="22"/>
        </w:rPr>
        <w:fldChar w:fldCharType="begin"/>
      </w:r>
      <w:r w:rsidR="009A346B">
        <w:rPr>
          <w:rFonts w:cs="Arial"/>
          <w:szCs w:val="22"/>
        </w:rPr>
        <w:instrText xml:space="preserve"> ADDIN ZOTERO_ITEM CSL_CITATION {"citationID":"2i536jfm46","properties":{"formattedCitation":"(10)","plainCitation":"(10)"},"citationItems":[{"id":1130,"uris":["http://zotero.org/users/71207/items/C8XZQ3AG"],"uri":["http://zotero.org/users/71207/items/C8XZQ3AG"],"itemData":{"id":1130,"type":"article-journal","title":"Effect of a perioperative, cardiac output-guided hemodynamic therapy algorithm on outcomes following major gastrointestinal surgery: a randomized clinical trial and systematic review","container-title":"JAMA : the journal of the American Medical Association","page":"2181-90","volume":"311","issue":"21","source":"NCBI PubMed","abstract":"IMPORTANCE Small trials suggest that postoperative outcomes may be improved by the use of cardiac output monitoring to guide administration of intravenous fluid and inotropic drugs as part of a hemodynamic therapy algorithm. OBJECTIVE To evaluate the clinical effectiveness of a perioperative, cardiac output-guided hemodynamic therapy algorithm. DESIGN, SETTING, AND PARTICIPANTS OPTIMISE was a pragmatic, multicenter, randomized, observer-blinded trial of 734 high-risk patients aged 50 years or older undergoing major gastrointestinal surgery at 17 acute care hospitals in the United Kingdom. An updated systematic review and meta-analysis were also conducted including randomized trials published from 1966 to February 2014. INTERVENTIONS Patients were randomly assigned to a cardiac output-guided hemodynamic therapy algorithm for intravenous fluid and inotrope (dopexamine) infusion during and 6 hours following surgery (n=368) or to usual care (n=366). MAIN OUTCOMES AND MEASURES The primary outcome was a composite of predefined 30-day moderate or major complications and mortality. Secondary outcomes were morbidity on day 7; infection, critical care-free days, and all-cause mortality at 30 days; all-cause mortality at 180 days; and length of hospital stay. RESULTS Baseline patient characteristics, clinical care, and volumes of intravenous fluid were similar between groups. Care was nonadherent to the allocated treatment for less than 10% of patients in each group. The primary outcome occurred in 36.6% of intervention and 43.4% of usual care participants (relative risk [RR], 0.84 [95% CI, 0.71-1.01]; absolute risk reduction, 6.8% [95% CI, -0.3% to 13.9%]; P = .07). There was no significant difference between groups for any secondary outcomes. Five intervention patients (1.4%) experienced cardiovascular serious adverse events within 24 hours compared with none in the usual care group. Findings of the meta-analysis of 38 trials, including data from this study, suggest that the intervention is associated with fewer complications (intervention, 488/1548 [31.5%] vs control, 614/1476 [41.6%]; RR, 0.77 [95% CI, 0.71-0.83]) and a nonsignificant reduction in hospital, 28-day, or 30-day mortality (intervention, 159/3215 deaths [4.9%] vs control, 206/3160 deaths [6.5%]; RR, 0.82 [95% CI, 0.67-1.01]) and mortality at longest follow-up (intervention, 267/3215 deaths [8.3%] vs control, 327/3160 deaths [10.3%]; RR, 0.86 [95% CI, 0.74-1.00]). CONCLUSIONS AND RELEVANCE In a randomized trial of high-risk patients undergoing major gastrointestinal surgery, use of a cardiac output-guided hemodynamic therapy algorithm compared with usual care did not reduce a composite outcome of complications and 30-day mortality. However, inclusion of these data in an updated meta-analysis indicates that the intervention was associated with a reduction in complication rates. TRIAL REGISTRATION isrctn.org Identifier: ISRCTN04386758.","DOI":"10.1001/jama.2014.5305","ISSN":"1538-3598","note":"PMID: 24842135","shortTitle":"Effect of a Perioperative, Cardiac Output-Guided Hemodynamic Therapy Algorithm on Outcomes Following Major Gastrointestinal Surgery","journalAbbreviation":"JAMA","language":"ENG","author":[{"family":"Pearse","given":"Rupert M"},{"family":"Harrison","given":"David A"},{"family":"MacDonald","given":"Neil"},{"family":"Gillies","given":"Michael A"},{"family":"Blunt","given":"Mark"},{"family":"Ackland","given":"Gareth"},{"family":"Grocott","given":"Michael P W"},{"family":"Ahern","given":"Aoife"},{"family":"Griggs","given":"Kathryn"},{"family":"Scott","given":"Rachael"},{"family":"Hinds","given":"Charles"},{"family":"Rowan","given":"Kathryn"},{"literal":"for the OPTIMISE Study Group"}],"issued":{"date-parts":[["2014",5,19]]},"PMID":"24842135"}}],"schema":"https://github.com/citation-style-language/schema/raw/master/csl-citation.json"} </w:instrText>
      </w:r>
      <w:r w:rsidR="00966C85" w:rsidRPr="00E70B9C">
        <w:rPr>
          <w:rFonts w:cs="Arial"/>
          <w:szCs w:val="22"/>
        </w:rPr>
        <w:fldChar w:fldCharType="end"/>
      </w:r>
      <w:r>
        <w:t xml:space="preserve">. A ocorrência de complicações foi menos frequente entre os pacientes tratados segundo um algoritmo de terapia hemodinâmica (grupo </w:t>
      </w:r>
      <w:r w:rsidR="00A11960">
        <w:t xml:space="preserve">de </w:t>
      </w:r>
      <w:r>
        <w:t xml:space="preserve">intervenção 488/1.548 [31,5%] </w:t>
      </w:r>
      <w:r>
        <w:rPr>
          <w:i/>
        </w:rPr>
        <w:t>versus</w:t>
      </w:r>
      <w:r>
        <w:t xml:space="preserve"> grupo controle 614/1.476 [41,6%]; RR</w:t>
      </w:r>
      <w:r w:rsidR="007D26B5">
        <w:t xml:space="preserve"> de</w:t>
      </w:r>
      <w:r>
        <w:t xml:space="preserve"> 0,77 [0,71-0,83]). A intervenção foi associada com uma redução na incidência de uma infecção pós-operatória (grupo </w:t>
      </w:r>
      <w:r w:rsidR="007D26B5">
        <w:t xml:space="preserve">de </w:t>
      </w:r>
      <w:r>
        <w:t xml:space="preserve">intervenção 182/836 pacientes [21,8%] </w:t>
      </w:r>
      <w:r>
        <w:rPr>
          <w:i/>
        </w:rPr>
        <w:t>versus</w:t>
      </w:r>
      <w:r>
        <w:t xml:space="preserve"> grupo controle 201/790 pacientes [25,4%]; RR </w:t>
      </w:r>
      <w:r w:rsidR="007D26B5">
        <w:t xml:space="preserve">de </w:t>
      </w:r>
      <w:r>
        <w:t xml:space="preserve">0,81 [0,69-0,95]) e uma redução na internação hospitalar (redução média: 0,79 dias [0,62-0,96]). Houve uma redução </w:t>
      </w:r>
      <w:r w:rsidR="002A420B">
        <w:t xml:space="preserve">não significativa </w:t>
      </w:r>
      <w:r>
        <w:t xml:space="preserve">da mortalidade no maior período de seguimento (grupo </w:t>
      </w:r>
      <w:r w:rsidR="00C0153C">
        <w:t xml:space="preserve">de </w:t>
      </w:r>
      <w:r>
        <w:t xml:space="preserve">intervenção 267/3.215 óbitos [8,3%] </w:t>
      </w:r>
      <w:r>
        <w:rPr>
          <w:i/>
        </w:rPr>
        <w:t>versus</w:t>
      </w:r>
      <w:r>
        <w:t xml:space="preserve"> grupo controle 327/3.160 óbitos [10,3%]; RR </w:t>
      </w:r>
      <w:r w:rsidR="00C0153C">
        <w:t xml:space="preserve">de </w:t>
      </w:r>
      <w:r>
        <w:t>0,86 [0,74-1,00]). Contudo, existe um risco de viés devido ao grande número de pequenos estudos na revisão sistemática. Mais da metade dos estudos incluídos foram publicados há mais de 10</w:t>
      </w:r>
      <w:r w:rsidR="0042103C">
        <w:t> </w:t>
      </w:r>
      <w:r>
        <w:t>anos e é possível que não sejam representativos da prática atual.</w:t>
      </w:r>
    </w:p>
    <w:p w14:paraId="4C9D4358" w14:textId="77777777" w:rsidR="00E139D8" w:rsidRDefault="00E139D8" w:rsidP="005239E5">
      <w:pPr>
        <w:contextualSpacing/>
        <w:jc w:val="both"/>
        <w:rPr>
          <w:rFonts w:cs="Arial"/>
          <w:szCs w:val="22"/>
        </w:rPr>
      </w:pPr>
    </w:p>
    <w:tbl>
      <w:tblPr>
        <w:tblStyle w:val="TableGrid"/>
        <w:tblW w:w="0" w:type="auto"/>
        <w:tblLook w:val="04A0" w:firstRow="1" w:lastRow="0" w:firstColumn="1" w:lastColumn="0" w:noHBand="0" w:noVBand="1"/>
      </w:tblPr>
      <w:tblGrid>
        <w:gridCol w:w="8115"/>
      </w:tblGrid>
      <w:tr w:rsidR="00E139D8" w14:paraId="1251BB12" w14:textId="77777777" w:rsidTr="00A0655E">
        <w:trPr>
          <w:trHeight w:val="6227"/>
        </w:trPr>
        <w:tc>
          <w:tcPr>
            <w:tcW w:w="8115" w:type="dxa"/>
            <w:shd w:val="clear" w:color="auto" w:fill="auto"/>
          </w:tcPr>
          <w:p w14:paraId="482D70EB" w14:textId="77777777" w:rsidR="00E139D8" w:rsidRDefault="00E139D8" w:rsidP="005239E5">
            <w:pPr>
              <w:contextualSpacing/>
              <w:jc w:val="both"/>
              <w:rPr>
                <w:rFonts w:cs="Arial"/>
                <w:szCs w:val="22"/>
              </w:rPr>
            </w:pPr>
            <w:r>
              <w:rPr>
                <w:rFonts w:cs="Arial"/>
                <w:noProof/>
                <w:szCs w:val="22"/>
                <w:lang w:val="en-GB" w:eastAsia="en-GB" w:bidi="ar-SA"/>
              </w:rPr>
              <w:lastRenderedPageBreak/>
              <w:drawing>
                <wp:inline distT="0" distB="0" distL="0" distR="0" wp14:anchorId="62C5F5BD" wp14:editId="5F71428D">
                  <wp:extent cx="4933665" cy="392734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8409" cy="3939076"/>
                          </a:xfrm>
                          <a:prstGeom prst="rect">
                            <a:avLst/>
                          </a:prstGeom>
                          <a:noFill/>
                          <a:ln>
                            <a:noFill/>
                          </a:ln>
                        </pic:spPr>
                      </pic:pic>
                    </a:graphicData>
                  </a:graphic>
                </wp:inline>
              </w:drawing>
            </w:r>
          </w:p>
        </w:tc>
      </w:tr>
      <w:tr w:rsidR="00E139D8" w14:paraId="7666333C" w14:textId="77777777" w:rsidTr="00A0655E">
        <w:trPr>
          <w:trHeight w:val="333"/>
        </w:trPr>
        <w:tc>
          <w:tcPr>
            <w:tcW w:w="8115" w:type="dxa"/>
          </w:tcPr>
          <w:p w14:paraId="648250E4" w14:textId="77777777" w:rsidR="00E139D8" w:rsidRPr="00F40DA1" w:rsidRDefault="00E139D8" w:rsidP="00F40DA1">
            <w:pPr>
              <w:contextualSpacing/>
              <w:jc w:val="center"/>
              <w:rPr>
                <w:rFonts w:cs="Arial"/>
                <w:b/>
                <w:szCs w:val="22"/>
              </w:rPr>
            </w:pPr>
            <w:r>
              <w:rPr>
                <w:b/>
                <w:sz w:val="20"/>
              </w:rPr>
              <w:t xml:space="preserve">Meta-análise do número de pacientes que desenvolveram complicações após a cirurgia </w:t>
            </w:r>
            <w:r w:rsidR="00966C85" w:rsidRPr="00F40DA1">
              <w:rPr>
                <w:rFonts w:cs="Arial"/>
                <w:b/>
                <w:sz w:val="20"/>
                <w:szCs w:val="22"/>
              </w:rPr>
              <w:fldChar w:fldCharType="begin"/>
            </w:r>
            <w:r w:rsidR="009A346B" w:rsidRPr="00F40DA1">
              <w:rPr>
                <w:rFonts w:cs="Arial"/>
                <w:b/>
                <w:sz w:val="20"/>
                <w:szCs w:val="22"/>
              </w:rPr>
              <w:instrText xml:space="preserve"> ADDIN ZOTERO_ITEM CSL_CITATION {"citationID":"7627l488b","properties":{"formattedCitation":"(10)","plainCitation":"(10)"},"citationItems":[{"id":1130,"uris":["http://zotero.org/users/71207/items/C8XZQ3AG"],"uri":["http://zotero.org/users/71207/items/C8XZQ3AG"],"itemData":{"id":1130,"type":"article-journal","title":"Effect of a perioperative, cardiac output-guided hemodynamic therapy algorithm on outcomes following major gastrointestinal surgery: a randomized clinical trial and systematic review","container-title":"JAMA : the journal of the American Medical Association","page":"2181-90","volume":"311","issue":"21","source":"NCBI PubMed","abstract":"IMPORTANCE Small trials suggest that postoperative outcomes may be improved by the use of cardiac output monitoring to guide administration of intravenous fluid and inotropic drugs as part of a hemodynamic therapy algorithm. OBJECTIVE To evaluate the clinical effectiveness of a perioperative, cardiac output-guided hemodynamic therapy algorithm. DESIGN, SETTING, AND PARTICIPANTS OPTIMISE was a pragmatic, multicenter, randomized, observer-blinded trial of 734 high-risk patients aged 50 years or older undergoing major gastrointestinal surgery at 17 acute care hospitals in the United Kingdom. An updated systematic review and meta-analysis were also conducted including randomized trials published from 1966 to February 2014. INTERVENTIONS Patients were randomly assigned to a cardiac output-guided hemodynamic therapy algorithm for intravenous fluid and inotrope (dopexamine) infusion during and 6 hours following surgery (n=368) or to usual care (n=366). MAIN OUTCOMES AND MEASURES The primary outcome was a composite of predefined 30-day moderate or major complications and mortality. Secondary outcomes were morbidity on day 7; infection, critical care-free days, and all-cause mortality at 30 days; all-cause mortality at 180 days; and length of hospital stay. RESULTS Baseline patient characteristics, clinical care, and volumes of intravenous fluid were similar between groups. Care was nonadherent to the allocated treatment for less than 10% of patients in each group. The primary outcome occurred in 36.6% of intervention and 43.4% of usual care participants (relative risk [RR], 0.84 [95% CI, 0.71-1.01]; absolute risk reduction, 6.8% [95% CI, -0.3% to 13.9%]; P = .07). There was no significant difference between groups for any secondary outcomes. Five intervention patients (1.4%) experienced cardiovascular serious adverse events within 24 hours compared with none in the usual care group. Findings of the meta-analysis of 38 trials, including data from this study, suggest that the intervention is associated with fewer complications (intervention, 488/1548 [31.5%] vs control, 614/1476 [41.6%]; RR, 0.77 [95% CI, 0.71-0.83]) and a nonsignificant reduction in hospital, 28-day, or 30-day mortality (intervention, 159/3215 deaths [4.9%] vs control, 206/3160 deaths [6.5%]; RR, 0.82 [95% CI, 0.67-1.01]) and mortality at longest follow-up (intervention, 267/3215 deaths [8.3%] vs control, 327/3160 deaths [10.3%]; RR, 0.86 [95% CI, 0.74-1.00]). CONCLUSIONS AND RELEVANCE In a randomized trial of high-risk patients undergoing major gastrointestinal surgery, use of a cardiac output-guided hemodynamic therapy algorithm compared with usual care did not reduce a composite outcome of complications and 30-day mortality. However, inclusion of these data in an updated meta-analysis indicates that the intervention was associated with a reduction in complication rates. TRIAL REGISTRATION isrctn.org Identifier: ISRCTN04386758.","DOI":"10.1001/jama.2014.5305","ISSN":"1538-3598","note":"PMID: 24842135","shortTitle":"Effect of a Perioperative, Cardiac Output-Guided Hemodynamic Therapy Algorithm on Outcomes Following Major Gastrointestinal Surgery","journalAbbreviation":"JAMA","language":"ENG","author":[{"family":"Pearse","given":"Rupert M"},{"family":"Harrison","given":"David A"},{"family":"MacDonald","given":"Neil"},{"family":"Gillies","given":"Michael A"},{"family":"Blunt","given":"Mark"},{"family":"Ackland","given":"Gareth"},{"family":"Grocott","given":"Michael P W"},{"family":"Ahern","given":"Aoife"},{"family":"Griggs","given":"Kathryn"},{"family":"Scott","given":"Rachael"},{"family":"Hinds","given":"Charles"},{"family":"Rowan","given":"Kathryn"},{"literal":"for the OPTIMISE Study Group"}],"issued":{"date-parts":[["2014",5,19]]},"PMID":"24842135"}}],"schema":"https://github.com/citation-style-language/schema/raw/master/csl-citation.json"} </w:instrText>
            </w:r>
            <w:r w:rsidR="00966C85" w:rsidRPr="00F40DA1">
              <w:rPr>
                <w:rFonts w:cs="Arial"/>
                <w:b/>
                <w:sz w:val="20"/>
                <w:szCs w:val="22"/>
              </w:rPr>
              <w:fldChar w:fldCharType="separate"/>
            </w:r>
            <w:r w:rsidR="009A346B" w:rsidRPr="00F40DA1">
              <w:rPr>
                <w:rFonts w:cs="Arial"/>
                <w:b/>
                <w:sz w:val="20"/>
              </w:rPr>
              <w:t>(10)</w:t>
            </w:r>
            <w:r w:rsidR="00966C85" w:rsidRPr="00F40DA1">
              <w:rPr>
                <w:rFonts w:cs="Arial"/>
                <w:b/>
                <w:sz w:val="20"/>
                <w:szCs w:val="22"/>
              </w:rPr>
              <w:fldChar w:fldCharType="end"/>
            </w:r>
            <w:r>
              <w:rPr>
                <w:b/>
                <w:sz w:val="20"/>
              </w:rPr>
              <w:t>.</w:t>
            </w:r>
          </w:p>
        </w:tc>
      </w:tr>
    </w:tbl>
    <w:p w14:paraId="49C88107" w14:textId="77777777" w:rsidR="00E139D8" w:rsidRPr="00E70B9C" w:rsidRDefault="00E139D8" w:rsidP="005239E5">
      <w:pPr>
        <w:contextualSpacing/>
        <w:jc w:val="both"/>
        <w:rPr>
          <w:rFonts w:cs="Arial"/>
          <w:szCs w:val="22"/>
        </w:rPr>
      </w:pPr>
    </w:p>
    <w:p w14:paraId="2C0AC9AD" w14:textId="77777777" w:rsidR="00E70B9C" w:rsidRDefault="00E70B9C" w:rsidP="005239E5">
      <w:pPr>
        <w:contextualSpacing/>
        <w:jc w:val="both"/>
        <w:rPr>
          <w:rFonts w:cs="Arial"/>
          <w:szCs w:val="22"/>
        </w:rPr>
      </w:pPr>
      <w:r>
        <w:t>Es</w:t>
      </w:r>
      <w:r w:rsidR="006E5CB0">
        <w:t>s</w:t>
      </w:r>
      <w:r>
        <w:t xml:space="preserve">es dados destacam a incerteza sobre os possíveis benefícios dos algoritmos da terapia hemodinâmica perioperatória e a necessidade de um </w:t>
      </w:r>
      <w:r w:rsidR="00E43DDD">
        <w:t>estudo</w:t>
      </w:r>
      <w:r>
        <w:t xml:space="preserve"> clínico multicêntrico grande e definitivo para solucionar este problema. O objetivo deste </w:t>
      </w:r>
      <w:r w:rsidR="00E43DDD">
        <w:t>estudo</w:t>
      </w:r>
      <w:r>
        <w:t xml:space="preserve"> clínico é avaliar os efeitos da terapia hemodinâmica perioperatória guiada pelo débito cardíaco no número de pacientes que desenvolve</w:t>
      </w:r>
      <w:r w:rsidR="00D93BC8">
        <w:t>m</w:t>
      </w:r>
      <w:r>
        <w:t xml:space="preserve"> uma infecção pós-operatória após uma cirurgia gastrointestinal de grande porte.</w:t>
      </w:r>
    </w:p>
    <w:p w14:paraId="34E7CD69" w14:textId="77777777" w:rsidR="00925421" w:rsidRDefault="00925421" w:rsidP="005239E5">
      <w:pPr>
        <w:contextualSpacing/>
        <w:jc w:val="both"/>
        <w:rPr>
          <w:rFonts w:cs="Arial"/>
          <w:szCs w:val="22"/>
        </w:rPr>
      </w:pPr>
    </w:p>
    <w:p w14:paraId="3BC00DA3" w14:textId="77777777" w:rsidR="00925421" w:rsidRDefault="00925421" w:rsidP="005239E5">
      <w:pPr>
        <w:contextualSpacing/>
        <w:jc w:val="both"/>
        <w:rPr>
          <w:rFonts w:cs="Arial"/>
          <w:szCs w:val="22"/>
        </w:rPr>
      </w:pPr>
    </w:p>
    <w:p w14:paraId="51D7ED8C" w14:textId="77777777" w:rsidR="00925421" w:rsidRDefault="00925421" w:rsidP="005239E5">
      <w:pPr>
        <w:contextualSpacing/>
        <w:jc w:val="both"/>
        <w:rPr>
          <w:rFonts w:cs="Arial"/>
          <w:szCs w:val="22"/>
        </w:rPr>
        <w:sectPr w:rsidR="00925421">
          <w:headerReference w:type="default" r:id="rId11"/>
          <w:footerReference w:type="default" r:id="rId12"/>
          <w:pgSz w:w="11907" w:h="16840"/>
          <w:pgMar w:top="1440" w:right="1800" w:bottom="1440" w:left="1800" w:header="708" w:footer="708" w:gutter="0"/>
          <w:cols w:space="720"/>
        </w:sectPr>
      </w:pPr>
    </w:p>
    <w:p w14:paraId="63C0EAB3" w14:textId="77777777" w:rsidR="001535CD" w:rsidRPr="008B0EAB" w:rsidRDefault="001535CD" w:rsidP="005239E5">
      <w:pPr>
        <w:pStyle w:val="Heading1"/>
        <w:spacing w:before="0" w:after="0"/>
        <w:contextualSpacing/>
      </w:pPr>
      <w:bookmarkStart w:id="14" w:name="_Toc466030501"/>
      <w:bookmarkStart w:id="15" w:name="_Toc508183522"/>
      <w:r>
        <w:lastRenderedPageBreak/>
        <w:t>5.</w:t>
      </w:r>
      <w:r>
        <w:tab/>
        <w:t>OBJETIVOS DO ESTUDO</w:t>
      </w:r>
      <w:bookmarkEnd w:id="13"/>
      <w:bookmarkEnd w:id="14"/>
      <w:bookmarkEnd w:id="15"/>
    </w:p>
    <w:p w14:paraId="7AF8C2DE" w14:textId="77777777" w:rsidR="001535CD" w:rsidRDefault="001535CD" w:rsidP="005239E5">
      <w:pPr>
        <w:pStyle w:val="Heading2"/>
        <w:spacing w:before="0" w:after="0"/>
        <w:contextualSpacing/>
      </w:pPr>
      <w:r>
        <w:t>5.1 Objetivo primário</w:t>
      </w:r>
    </w:p>
    <w:p w14:paraId="3458C9CB" w14:textId="77777777" w:rsidR="001535CD" w:rsidRDefault="00E70B9C" w:rsidP="005239E5">
      <w:pPr>
        <w:tabs>
          <w:tab w:val="left" w:pos="540"/>
        </w:tabs>
        <w:contextualSpacing/>
        <w:jc w:val="both"/>
        <w:outlineLvl w:val="0"/>
        <w:rPr>
          <w:rFonts w:cs="Arial"/>
          <w:szCs w:val="22"/>
        </w:rPr>
      </w:pPr>
      <w:r>
        <w:t xml:space="preserve">Determinar se o uso de um monitoramento do débito cardíaco minimamente invasivo para guiar a administração protocolizada de </w:t>
      </w:r>
      <w:r w:rsidR="004A0297">
        <w:t xml:space="preserve">fluido </w:t>
      </w:r>
      <w:r>
        <w:t xml:space="preserve">intravenoso, combinado com uma infusão de inotrópico em dose baixa em pacientes submetidos a uma cirurgia eletiva de grande porte envolvendo o trato gastrointestinal, reduz a incidência de uma infecção pós-operatória dentro de um período de 30 dias </w:t>
      </w:r>
      <w:r w:rsidR="00EF1A18">
        <w:t>após a</w:t>
      </w:r>
      <w:r>
        <w:t xml:space="preserve"> randomização.</w:t>
      </w:r>
    </w:p>
    <w:p w14:paraId="4D42300F" w14:textId="77777777" w:rsidR="00886217" w:rsidRDefault="00886217" w:rsidP="005239E5">
      <w:pPr>
        <w:tabs>
          <w:tab w:val="left" w:pos="540"/>
        </w:tabs>
        <w:contextualSpacing/>
        <w:jc w:val="both"/>
        <w:outlineLvl w:val="0"/>
        <w:rPr>
          <w:rFonts w:cs="Arial"/>
          <w:szCs w:val="22"/>
        </w:rPr>
      </w:pPr>
    </w:p>
    <w:p w14:paraId="7F3A9BF1" w14:textId="77777777" w:rsidR="001535CD" w:rsidRDefault="001535CD" w:rsidP="005239E5">
      <w:pPr>
        <w:pStyle w:val="Heading2"/>
        <w:spacing w:before="0" w:after="0"/>
        <w:contextualSpacing/>
      </w:pPr>
      <w:r>
        <w:t>5.2 Medidas dos resultados primários</w:t>
      </w:r>
    </w:p>
    <w:p w14:paraId="067D6D5B" w14:textId="6C8E6305" w:rsidR="00DA2EB2" w:rsidRPr="00EB771E" w:rsidRDefault="00DA2EB2" w:rsidP="00EB771E">
      <w:pPr>
        <w:tabs>
          <w:tab w:val="left" w:pos="540"/>
        </w:tabs>
        <w:contextualSpacing/>
        <w:jc w:val="both"/>
        <w:outlineLvl w:val="0"/>
        <w:rPr>
          <w:bCs/>
          <w:szCs w:val="22"/>
        </w:rPr>
      </w:pPr>
      <w:r>
        <w:t xml:space="preserve">O resultado primário é uma infecção pós-operatória dentro de 30 dias </w:t>
      </w:r>
      <w:r w:rsidR="005F6FA7">
        <w:t xml:space="preserve">após </w:t>
      </w:r>
      <w:r>
        <w:t>a randomização. Is</w:t>
      </w:r>
      <w:r w:rsidR="00431CF3">
        <w:t>s</w:t>
      </w:r>
      <w:r>
        <w:t>o é definido como sendo uma ou mais das infecções relacionadas a seguir, com grau II ou superior na escala de complicações cirúrgicas de Clavien</w:t>
      </w:r>
      <w:r w:rsidR="0042103C">
        <w:noBreakHyphen/>
      </w:r>
      <w:r>
        <w:t>Dindo. Uma lista completa das definições está disponível no Anexo 1:</w:t>
      </w:r>
    </w:p>
    <w:p w14:paraId="14D8F8D4" w14:textId="77777777" w:rsidR="00DA2EB2" w:rsidRPr="00BE6D9E" w:rsidRDefault="00DA2EB2" w:rsidP="00D437A6">
      <w:pPr>
        <w:pStyle w:val="CommentText"/>
        <w:numPr>
          <w:ilvl w:val="0"/>
          <w:numId w:val="23"/>
        </w:numPr>
        <w:contextualSpacing/>
        <w:jc w:val="both"/>
        <w:rPr>
          <w:rFonts w:cs="Arial"/>
          <w:sz w:val="22"/>
          <w:szCs w:val="22"/>
        </w:rPr>
      </w:pPr>
      <w:r>
        <w:rPr>
          <w:sz w:val="22"/>
        </w:rPr>
        <w:t>Infecção superficial no sítio cirúrgico;</w:t>
      </w:r>
    </w:p>
    <w:p w14:paraId="62CE9C67" w14:textId="2D799E12" w:rsidR="00DA2EB2" w:rsidRPr="00BE6D9E" w:rsidRDefault="00DA2EB2" w:rsidP="00D437A6">
      <w:pPr>
        <w:pStyle w:val="CommentText"/>
        <w:numPr>
          <w:ilvl w:val="0"/>
          <w:numId w:val="23"/>
        </w:numPr>
        <w:contextualSpacing/>
        <w:jc w:val="both"/>
        <w:rPr>
          <w:rFonts w:cs="Arial"/>
          <w:sz w:val="22"/>
          <w:szCs w:val="22"/>
        </w:rPr>
      </w:pPr>
      <w:r>
        <w:rPr>
          <w:sz w:val="22"/>
        </w:rPr>
        <w:t>Infecção profunda no sítio cirúrgico;</w:t>
      </w:r>
    </w:p>
    <w:p w14:paraId="2B530EE2" w14:textId="77777777" w:rsidR="00DA2EB2" w:rsidRPr="00BE6D9E" w:rsidRDefault="00DA2EB2" w:rsidP="00D437A6">
      <w:pPr>
        <w:pStyle w:val="CommentText"/>
        <w:numPr>
          <w:ilvl w:val="0"/>
          <w:numId w:val="23"/>
        </w:numPr>
        <w:contextualSpacing/>
        <w:jc w:val="both"/>
        <w:rPr>
          <w:rFonts w:cs="Arial"/>
          <w:sz w:val="22"/>
          <w:szCs w:val="22"/>
        </w:rPr>
      </w:pPr>
      <w:r>
        <w:rPr>
          <w:sz w:val="22"/>
        </w:rPr>
        <w:t>Infecção de órgão/cavidade no sítio cirúrgico;</w:t>
      </w:r>
    </w:p>
    <w:p w14:paraId="2C6ECA6C" w14:textId="77777777" w:rsidR="00DA2EB2" w:rsidRPr="00BE6D9E" w:rsidRDefault="00DA2EB2" w:rsidP="00D437A6">
      <w:pPr>
        <w:pStyle w:val="CommentText"/>
        <w:numPr>
          <w:ilvl w:val="0"/>
          <w:numId w:val="23"/>
        </w:numPr>
        <w:contextualSpacing/>
        <w:jc w:val="both"/>
        <w:rPr>
          <w:rFonts w:cs="Arial"/>
          <w:sz w:val="22"/>
          <w:szCs w:val="22"/>
        </w:rPr>
      </w:pPr>
      <w:r>
        <w:rPr>
          <w:sz w:val="22"/>
        </w:rPr>
        <w:t>Pneumonia;</w:t>
      </w:r>
    </w:p>
    <w:p w14:paraId="31584E4D" w14:textId="77777777" w:rsidR="00DA2EB2" w:rsidRPr="00BE6D9E" w:rsidRDefault="00DA2EB2" w:rsidP="00D437A6">
      <w:pPr>
        <w:pStyle w:val="CommentText"/>
        <w:numPr>
          <w:ilvl w:val="0"/>
          <w:numId w:val="23"/>
        </w:numPr>
        <w:contextualSpacing/>
        <w:jc w:val="both"/>
        <w:rPr>
          <w:rFonts w:cs="Arial"/>
          <w:sz w:val="22"/>
          <w:szCs w:val="22"/>
        </w:rPr>
      </w:pPr>
      <w:r>
        <w:rPr>
          <w:sz w:val="22"/>
        </w:rPr>
        <w:t>Infecção das vias urinárias;</w:t>
      </w:r>
    </w:p>
    <w:p w14:paraId="23C0BB3D" w14:textId="77777777" w:rsidR="00DA2EB2" w:rsidRPr="00BE6D9E" w:rsidRDefault="00DA2EB2" w:rsidP="00D437A6">
      <w:pPr>
        <w:pStyle w:val="CommentText"/>
        <w:numPr>
          <w:ilvl w:val="0"/>
          <w:numId w:val="23"/>
        </w:numPr>
        <w:contextualSpacing/>
        <w:jc w:val="both"/>
        <w:rPr>
          <w:rFonts w:cs="Arial"/>
          <w:sz w:val="22"/>
          <w:szCs w:val="22"/>
        </w:rPr>
      </w:pPr>
      <w:r>
        <w:rPr>
          <w:sz w:val="22"/>
        </w:rPr>
        <w:t>Infecção da corrente sanguínea confirmada por análise laboratorial;</w:t>
      </w:r>
    </w:p>
    <w:p w14:paraId="33DBCFC7" w14:textId="2DB1D7B4" w:rsidR="00DA2EB2" w:rsidRDefault="00F40DA1" w:rsidP="00D437A6">
      <w:pPr>
        <w:pStyle w:val="CommentText"/>
        <w:numPr>
          <w:ilvl w:val="0"/>
          <w:numId w:val="23"/>
        </w:numPr>
        <w:contextualSpacing/>
        <w:jc w:val="both"/>
        <w:rPr>
          <w:rFonts w:cs="Arial"/>
          <w:sz w:val="22"/>
          <w:szCs w:val="22"/>
        </w:rPr>
      </w:pPr>
      <w:r>
        <w:rPr>
          <w:sz w:val="22"/>
        </w:rPr>
        <w:t>Infecção, origem incerta; definida como pode</w:t>
      </w:r>
      <w:r w:rsidR="00995B95">
        <w:rPr>
          <w:sz w:val="22"/>
        </w:rPr>
        <w:t>ndo</w:t>
      </w:r>
      <w:r>
        <w:rPr>
          <w:sz w:val="22"/>
        </w:rPr>
        <w:t xml:space="preserve"> ser mais de uma das infecções supracitadas (ou seja, i-vi), mas não est</w:t>
      </w:r>
      <w:r w:rsidR="00995B95">
        <w:rPr>
          <w:sz w:val="22"/>
        </w:rPr>
        <w:t>ando</w:t>
      </w:r>
      <w:r>
        <w:rPr>
          <w:sz w:val="22"/>
        </w:rPr>
        <w:t xml:space="preserve"> claro qual</w:t>
      </w:r>
      <w:r w:rsidR="00995B95">
        <w:rPr>
          <w:sz w:val="22"/>
        </w:rPr>
        <w:t xml:space="preserve"> delas</w:t>
      </w:r>
      <w:r>
        <w:rPr>
          <w:sz w:val="22"/>
        </w:rPr>
        <w:t>.</w:t>
      </w:r>
    </w:p>
    <w:p w14:paraId="12BEDD1D" w14:textId="77777777" w:rsidR="00A0655E" w:rsidRDefault="00A0655E" w:rsidP="00337863">
      <w:pPr>
        <w:pStyle w:val="CommentText"/>
      </w:pPr>
    </w:p>
    <w:p w14:paraId="3F355084" w14:textId="77777777" w:rsidR="001535CD" w:rsidRDefault="001535CD" w:rsidP="005239E5">
      <w:pPr>
        <w:pStyle w:val="Heading2"/>
        <w:spacing w:before="0" w:after="0"/>
        <w:contextualSpacing/>
        <w:jc w:val="both"/>
      </w:pPr>
      <w:r>
        <w:t>5.3 Objetivos secundários</w:t>
      </w:r>
    </w:p>
    <w:p w14:paraId="7B5EAD85" w14:textId="77777777" w:rsidR="001535CD" w:rsidRDefault="001535CD" w:rsidP="005239E5">
      <w:pPr>
        <w:contextualSpacing/>
        <w:jc w:val="both"/>
        <w:rPr>
          <w:rFonts w:cs="Arial"/>
          <w:szCs w:val="22"/>
        </w:rPr>
      </w:pPr>
      <w:r>
        <w:t>Determinar se a terapia hemodinâmica perioperatória guiada pelo débito cardíaco reduz a mortalidade</w:t>
      </w:r>
      <w:r w:rsidR="00DB49D0">
        <w:t xml:space="preserve"> e</w:t>
      </w:r>
      <w:r>
        <w:t xml:space="preserve"> outras formas de morbidade pós-operatória, melhora a qualidade de vida e é econômica.</w:t>
      </w:r>
    </w:p>
    <w:p w14:paraId="7A33B1C9" w14:textId="77777777" w:rsidR="001535CD" w:rsidRPr="00663E32" w:rsidRDefault="001535CD" w:rsidP="005239E5">
      <w:pPr>
        <w:contextualSpacing/>
        <w:jc w:val="both"/>
        <w:rPr>
          <w:rFonts w:cs="Arial"/>
          <w:szCs w:val="22"/>
        </w:rPr>
      </w:pPr>
    </w:p>
    <w:p w14:paraId="2C387092" w14:textId="77777777" w:rsidR="001535CD" w:rsidRDefault="001535CD" w:rsidP="005239E5">
      <w:pPr>
        <w:pStyle w:val="Heading2"/>
        <w:spacing w:before="0" w:after="0"/>
        <w:contextualSpacing/>
        <w:jc w:val="both"/>
      </w:pPr>
      <w:r>
        <w:t>5.4 Medidas dos resultados secundários</w:t>
      </w:r>
    </w:p>
    <w:p w14:paraId="0C4350F5" w14:textId="1AACF2F4" w:rsidR="00C93CBD" w:rsidRDefault="0030760E" w:rsidP="00EB771E">
      <w:pPr>
        <w:numPr>
          <w:ilvl w:val="0"/>
          <w:numId w:val="10"/>
        </w:numPr>
        <w:tabs>
          <w:tab w:val="clear" w:pos="720"/>
          <w:tab w:val="num" w:pos="426"/>
        </w:tabs>
        <w:autoSpaceDN w:val="0"/>
        <w:ind w:hanging="578"/>
        <w:contextualSpacing/>
        <w:jc w:val="both"/>
        <w:rPr>
          <w:rFonts w:ascii="Gill Sans MT" w:hAnsi="Gill Sans MT" w:cs="Arial"/>
          <w:szCs w:val="22"/>
        </w:rPr>
      </w:pPr>
      <w:r>
        <w:t xml:space="preserve">Mortalidade dentro de 180 dias </w:t>
      </w:r>
      <w:r w:rsidR="00BD4DEE">
        <w:t xml:space="preserve">após </w:t>
      </w:r>
      <w:r>
        <w:t>a randomização</w:t>
      </w:r>
    </w:p>
    <w:p w14:paraId="0D857829" w14:textId="77F136F4" w:rsidR="00C93CBD" w:rsidRDefault="0030760E" w:rsidP="00EB771E">
      <w:pPr>
        <w:numPr>
          <w:ilvl w:val="0"/>
          <w:numId w:val="10"/>
        </w:numPr>
        <w:tabs>
          <w:tab w:val="clear" w:pos="720"/>
          <w:tab w:val="num" w:pos="426"/>
        </w:tabs>
        <w:autoSpaceDN w:val="0"/>
        <w:ind w:hanging="578"/>
        <w:contextualSpacing/>
        <w:jc w:val="both"/>
        <w:rPr>
          <w:rFonts w:cs="Arial"/>
          <w:szCs w:val="22"/>
        </w:rPr>
      </w:pPr>
      <w:r>
        <w:t xml:space="preserve">Lesão renal aguda, com grau II ou superior na escala de complicações cirúrgicas de Clavien-Dindo dentro de 30 dias </w:t>
      </w:r>
      <w:r w:rsidR="00A37DE6">
        <w:t xml:space="preserve">após </w:t>
      </w:r>
      <w:r>
        <w:t>a randomização</w:t>
      </w:r>
    </w:p>
    <w:p w14:paraId="545F765D" w14:textId="7BD6374E" w:rsidR="0030760E" w:rsidRDefault="0030760E" w:rsidP="00EB771E">
      <w:pPr>
        <w:numPr>
          <w:ilvl w:val="0"/>
          <w:numId w:val="10"/>
        </w:numPr>
        <w:tabs>
          <w:tab w:val="clear" w:pos="720"/>
          <w:tab w:val="num" w:pos="426"/>
        </w:tabs>
        <w:autoSpaceDN w:val="0"/>
        <w:ind w:hanging="578"/>
        <w:contextualSpacing/>
        <w:jc w:val="both"/>
        <w:rPr>
          <w:rFonts w:cs="Arial"/>
          <w:szCs w:val="22"/>
        </w:rPr>
      </w:pPr>
      <w:r>
        <w:t xml:space="preserve">Evento cardíaco agudo, com grau II ou superior na escala de complicações cirúrgicas de Clavien-Dindo, dentro de 24 horas </w:t>
      </w:r>
      <w:r w:rsidR="004B3ECF">
        <w:t xml:space="preserve">após </w:t>
      </w:r>
      <w:r>
        <w:t>a randomização (resultado de segurança)</w:t>
      </w:r>
    </w:p>
    <w:p w14:paraId="6D4CB3D6" w14:textId="6414B786" w:rsidR="0030760E" w:rsidRDefault="0030760E" w:rsidP="00EB771E">
      <w:pPr>
        <w:numPr>
          <w:ilvl w:val="0"/>
          <w:numId w:val="10"/>
        </w:numPr>
        <w:tabs>
          <w:tab w:val="clear" w:pos="720"/>
          <w:tab w:val="num" w:pos="426"/>
        </w:tabs>
        <w:autoSpaceDN w:val="0"/>
        <w:ind w:hanging="578"/>
        <w:contextualSpacing/>
        <w:jc w:val="both"/>
        <w:rPr>
          <w:rFonts w:cs="Arial"/>
          <w:szCs w:val="22"/>
        </w:rPr>
      </w:pPr>
      <w:r>
        <w:t xml:space="preserve">Evento cardíaco agudo, com grau II ou superior na escala de complicações cirúrgicas de Clavien-Dindo, dentro de 30 dias </w:t>
      </w:r>
      <w:r w:rsidR="00A055D6">
        <w:t xml:space="preserve">após </w:t>
      </w:r>
      <w:r>
        <w:t>a randomização (resultado de segurança)</w:t>
      </w:r>
    </w:p>
    <w:p w14:paraId="329C01B8" w14:textId="77777777" w:rsidR="00DA1E8F" w:rsidRDefault="00DA1E8F" w:rsidP="005239E5">
      <w:pPr>
        <w:tabs>
          <w:tab w:val="left" w:pos="540"/>
        </w:tabs>
        <w:contextualSpacing/>
        <w:jc w:val="both"/>
        <w:outlineLvl w:val="0"/>
        <w:rPr>
          <w:rFonts w:cs="Arial"/>
          <w:szCs w:val="22"/>
        </w:rPr>
      </w:pPr>
    </w:p>
    <w:p w14:paraId="25FAB5C1" w14:textId="77777777" w:rsidR="00DA1E8F" w:rsidRDefault="00DA1E8F" w:rsidP="005239E5">
      <w:pPr>
        <w:tabs>
          <w:tab w:val="left" w:pos="540"/>
        </w:tabs>
        <w:contextualSpacing/>
        <w:jc w:val="both"/>
        <w:outlineLvl w:val="0"/>
        <w:rPr>
          <w:rFonts w:cs="Arial"/>
          <w:szCs w:val="22"/>
        </w:rPr>
      </w:pPr>
    </w:p>
    <w:p w14:paraId="1E1B72A6" w14:textId="77777777" w:rsidR="00D07F9B" w:rsidRDefault="00D07F9B" w:rsidP="00D07F9B">
      <w:pPr>
        <w:pStyle w:val="Heading2"/>
        <w:spacing w:before="0" w:after="0"/>
        <w:contextualSpacing/>
        <w:jc w:val="both"/>
      </w:pPr>
      <w:r>
        <w:t>5.5 Medidas de processo</w:t>
      </w:r>
    </w:p>
    <w:p w14:paraId="1E0A135D" w14:textId="77777777" w:rsidR="00D07F9B" w:rsidRDefault="00D07F9B" w:rsidP="00D437A6">
      <w:pPr>
        <w:pStyle w:val="ListParagraph"/>
        <w:numPr>
          <w:ilvl w:val="0"/>
          <w:numId w:val="18"/>
        </w:numPr>
        <w:tabs>
          <w:tab w:val="left" w:pos="540"/>
        </w:tabs>
        <w:jc w:val="both"/>
        <w:outlineLvl w:val="0"/>
        <w:rPr>
          <w:rFonts w:cs="Arial"/>
          <w:szCs w:val="22"/>
        </w:rPr>
      </w:pPr>
      <w:r>
        <w:t>Duração da internação hospitalar (número de dias da randomização até a alta hospitalar)</w:t>
      </w:r>
    </w:p>
    <w:p w14:paraId="03958E16" w14:textId="77777777" w:rsidR="00D07F9B" w:rsidRPr="00E769BE" w:rsidRDefault="00D07F9B" w:rsidP="00D437A6">
      <w:pPr>
        <w:pStyle w:val="ListParagraph"/>
        <w:numPr>
          <w:ilvl w:val="0"/>
          <w:numId w:val="18"/>
        </w:numPr>
        <w:tabs>
          <w:tab w:val="left" w:pos="540"/>
        </w:tabs>
        <w:jc w:val="both"/>
        <w:outlineLvl w:val="0"/>
        <w:rPr>
          <w:rFonts w:cs="Arial"/>
          <w:szCs w:val="22"/>
        </w:rPr>
      </w:pPr>
      <w:r>
        <w:t>Número de dias sem cuidados intensivos até 30 dias desde a randomização (um dia sem cuidados intensivos é definido como sendo um dia no qual o paciente está vivo e não se encontra em um leito de cuidados intensivos de nível 2 ou 3)</w:t>
      </w:r>
    </w:p>
    <w:p w14:paraId="1B78976B" w14:textId="77777777" w:rsidR="001535CD" w:rsidRDefault="001535CD" w:rsidP="005239E5">
      <w:pPr>
        <w:tabs>
          <w:tab w:val="left" w:pos="540"/>
        </w:tabs>
        <w:contextualSpacing/>
        <w:jc w:val="both"/>
        <w:outlineLvl w:val="0"/>
        <w:rPr>
          <w:rFonts w:cs="Arial"/>
          <w:szCs w:val="22"/>
        </w:rPr>
      </w:pPr>
    </w:p>
    <w:p w14:paraId="7C55AAE6" w14:textId="77777777" w:rsidR="001535CD" w:rsidRDefault="004D6A6C" w:rsidP="006C5787">
      <w:pPr>
        <w:pStyle w:val="Heading2"/>
      </w:pPr>
      <w:r>
        <w:t>5.6 Resultados de economia em saúde (somente Reino Unido)</w:t>
      </w:r>
    </w:p>
    <w:p w14:paraId="7D8A413F" w14:textId="77777777" w:rsidR="00A14E35" w:rsidRDefault="00A14E35" w:rsidP="00D437A6">
      <w:pPr>
        <w:numPr>
          <w:ilvl w:val="0"/>
          <w:numId w:val="10"/>
        </w:numPr>
        <w:autoSpaceDN w:val="0"/>
        <w:contextualSpacing/>
        <w:jc w:val="both"/>
        <w:rPr>
          <w:rFonts w:cs="Arial"/>
          <w:szCs w:val="22"/>
        </w:rPr>
      </w:pPr>
      <w:r>
        <w:t>Custo médio a partir da perspectiva do NHS a 180 dias pós-randomização</w:t>
      </w:r>
    </w:p>
    <w:p w14:paraId="3BF60C4B" w14:textId="09D18A31" w:rsidR="004D6A6C" w:rsidRDefault="00F40DA1" w:rsidP="00D437A6">
      <w:pPr>
        <w:numPr>
          <w:ilvl w:val="0"/>
          <w:numId w:val="10"/>
        </w:numPr>
        <w:autoSpaceDN w:val="0"/>
        <w:contextualSpacing/>
        <w:jc w:val="both"/>
        <w:rPr>
          <w:rFonts w:cs="Arial"/>
          <w:szCs w:val="22"/>
        </w:rPr>
      </w:pPr>
      <w:r>
        <w:t>Anos de vida ajustados por qualidade de vida (QALY) a 180 dias pós</w:t>
      </w:r>
      <w:r w:rsidR="003E6228">
        <w:noBreakHyphen/>
      </w:r>
      <w:r>
        <w:t xml:space="preserve">randomização </w:t>
      </w:r>
    </w:p>
    <w:p w14:paraId="69425D34" w14:textId="77777777" w:rsidR="004D6A6C" w:rsidRDefault="00A14E35" w:rsidP="00D437A6">
      <w:pPr>
        <w:numPr>
          <w:ilvl w:val="0"/>
          <w:numId w:val="10"/>
        </w:numPr>
        <w:autoSpaceDN w:val="0"/>
        <w:contextualSpacing/>
        <w:jc w:val="both"/>
        <w:rPr>
          <w:rFonts w:cs="Arial"/>
          <w:szCs w:val="22"/>
        </w:rPr>
      </w:pPr>
      <w:r>
        <w:t>Razão incremental de custo-efetividade</w:t>
      </w:r>
    </w:p>
    <w:p w14:paraId="31FE8A6E" w14:textId="77777777" w:rsidR="004D6A6C" w:rsidRDefault="004D6A6C" w:rsidP="006C5787"/>
    <w:p w14:paraId="0D115F14" w14:textId="77777777" w:rsidR="00DA1E8F" w:rsidRDefault="00DA1E8F" w:rsidP="00DA1E8F">
      <w:pPr>
        <w:pStyle w:val="Heading2"/>
        <w:spacing w:before="0" w:after="0"/>
        <w:contextualSpacing/>
        <w:jc w:val="both"/>
      </w:pPr>
      <w:r>
        <w:t>5.7 Avaliação dos resultados primários e secundários</w:t>
      </w:r>
    </w:p>
    <w:p w14:paraId="6E792FD2" w14:textId="494EEFA1" w:rsidR="004D6A6C" w:rsidRDefault="00E13896" w:rsidP="006C5787">
      <w:pPr>
        <w:jc w:val="both"/>
      </w:pPr>
      <w:r>
        <w:t xml:space="preserve">Uma avaliação inicial do resultado primário (pós-operatório com grau II ou superior na escala de complicações cirúrgicas de Clavien-Dindo, dentro de 30 dias </w:t>
      </w:r>
      <w:r w:rsidR="00884B47">
        <w:t xml:space="preserve">após </w:t>
      </w:r>
      <w:r>
        <w:t>a randomização) será feita por um investigador associado, tipicamente um enfermeiro da pesquisa, mas poderá envolver médicos e cirurgiões. O investigador encarregado da avaliação não deve estar envolvido na prestação de cuidados ao paciente e deve desconhecer o grupo de tratamento atribuído ao mesmo. Es</w:t>
      </w:r>
      <w:r w:rsidR="00884B47">
        <w:t>s</w:t>
      </w:r>
      <w:r>
        <w:t>a avaliação inicial por parte do investigador associado irá basear-se nas informações clínicas, incluindo as informações do</w:t>
      </w:r>
      <w:r w:rsidR="00867BC4">
        <w:t>s</w:t>
      </w:r>
      <w:r>
        <w:t xml:space="preserve"> prontuários dos pacientes, incluindo (mas não limitad</w:t>
      </w:r>
      <w:r w:rsidR="0086677C">
        <w:t>a</w:t>
      </w:r>
      <w:r>
        <w:t xml:space="preserve"> a) os resultados das análises de microbiologia, os resultados </w:t>
      </w:r>
      <w:r w:rsidR="0086677C">
        <w:t xml:space="preserve">dos exames </w:t>
      </w:r>
      <w:r>
        <w:t xml:space="preserve">de sangue, os prontuários de prescrição de medicamentos, as análises de radiologia, etc. Os pacientes que receberem alta hospitalar antes do dia 30 serão contatados pouco depois </w:t>
      </w:r>
      <w:r w:rsidR="00F23AF7">
        <w:t>des</w:t>
      </w:r>
      <w:r w:rsidR="00FE4331">
        <w:t>t</w:t>
      </w:r>
      <w:r w:rsidR="00F23AF7">
        <w:t xml:space="preserve">e </w:t>
      </w:r>
      <w:r>
        <w:t xml:space="preserve">dia para estabelecer se receberam algum tratamento novo desde a alta hospitalar, se foram readmitidos no hospital ou se passaram por </w:t>
      </w:r>
      <w:r w:rsidR="00F23AF7">
        <w:t xml:space="preserve">uma </w:t>
      </w:r>
      <w:r>
        <w:t xml:space="preserve">nova consulta médica desde a alta. No caso dos pacientes que receberam tratamento adicional ou que consultaram um profissional de saúde desde a alta hospitalar, serão coletados mais detalhes diretamente com o hospital/médico ou através dos </w:t>
      </w:r>
      <w:r w:rsidR="002E65AA">
        <w:t xml:space="preserve">prontuários </w:t>
      </w:r>
      <w:r>
        <w:t>clínicos do paciente para utilização na avaliação do investigador associado.</w:t>
      </w:r>
    </w:p>
    <w:p w14:paraId="3A2C75EA" w14:textId="77777777" w:rsidR="004D6A6C" w:rsidRDefault="004D6A6C" w:rsidP="006C5787"/>
    <w:p w14:paraId="56B457C4" w14:textId="744BCB9A" w:rsidR="00816AE9" w:rsidRDefault="00E13896" w:rsidP="006C5787">
      <w:pPr>
        <w:jc w:val="both"/>
      </w:pPr>
      <w:r>
        <w:t xml:space="preserve">Se a avaliação inicial feita pelo investigador associado </w:t>
      </w:r>
      <w:r w:rsidR="00AA780A">
        <w:t xml:space="preserve">for </w:t>
      </w:r>
      <w:r>
        <w:t xml:space="preserve">"nenhuma infecção", então o resultado do paciente será classificado como sendo "nenhuma infecção". Se </w:t>
      </w:r>
      <w:r>
        <w:lastRenderedPageBreak/>
        <w:t xml:space="preserve">a avaliação inicial </w:t>
      </w:r>
      <w:r w:rsidR="00AA780A">
        <w:t>for</w:t>
      </w:r>
      <w:r>
        <w:t xml:space="preserve"> "infecção", esta decisão deverá ser confirmada pelo investigador principal (IP) do centro do estudo, que irá avaliar as informações usadas pelo investigador associado em sua avaliação inicial. A decisão do IP é final. Ela poderá confirmar a avaliação inicial de "infecção" do investigador associado (neste caso, o resultado do paciente será classificado como "infecção") ou poderá rejeitar a avaliação (neste caso, o resultado do paciente será classificado como "nenhuma infecção"). O IP somente </w:t>
      </w:r>
      <w:r w:rsidR="00CC09D1">
        <w:t xml:space="preserve">deverá </w:t>
      </w:r>
      <w:r>
        <w:t>fazer esta avaliação se desconhecer a qual grupo de tratamento o paciente pertence. Se o IP estiver ciente da designação de tratamento</w:t>
      </w:r>
      <w:r w:rsidR="00CC09D1">
        <w:t xml:space="preserve"> do paciente</w:t>
      </w:r>
      <w:r>
        <w:t xml:space="preserve">, deverá delegar a avaliação a um suplente que desconheça </w:t>
      </w:r>
      <w:r w:rsidR="00CC09D1">
        <w:t>ess</w:t>
      </w:r>
      <w:r>
        <w:t>a designação. O suplente deverá ser um médico sênior. Os resultados clínicos secundários (lesão renal aguda, evento cardíaco agudo) serão avaliados usando uma abordagem similar à utilizada para o resultado primário.</w:t>
      </w:r>
    </w:p>
    <w:p w14:paraId="5F97D829" w14:textId="77777777" w:rsidR="00DB634A" w:rsidRDefault="00DB634A">
      <w:pPr>
        <w:spacing w:line="240" w:lineRule="auto"/>
        <w:rPr>
          <w:bCs/>
        </w:rPr>
      </w:pPr>
    </w:p>
    <w:p w14:paraId="5F4C948E" w14:textId="77777777" w:rsidR="005239E5" w:rsidRDefault="005239E5">
      <w:pPr>
        <w:spacing w:line="240" w:lineRule="auto"/>
        <w:rPr>
          <w:bCs/>
        </w:rPr>
      </w:pPr>
    </w:p>
    <w:p w14:paraId="17EBE880" w14:textId="1ACEC42A" w:rsidR="001535CD" w:rsidRPr="00AE3CF4" w:rsidRDefault="001535CD" w:rsidP="005239E5">
      <w:pPr>
        <w:pStyle w:val="Heading1"/>
        <w:spacing w:before="0" w:after="0"/>
        <w:contextualSpacing/>
      </w:pPr>
      <w:bookmarkStart w:id="16" w:name="_Toc331159147"/>
      <w:bookmarkStart w:id="17" w:name="_Toc466030502"/>
      <w:bookmarkStart w:id="18" w:name="_Toc508183523"/>
      <w:r>
        <w:t>6.</w:t>
      </w:r>
      <w:r>
        <w:tab/>
        <w:t>METODOLOGIA DO ESTUDO</w:t>
      </w:r>
      <w:bookmarkEnd w:id="16"/>
      <w:bookmarkEnd w:id="17"/>
      <w:bookmarkEnd w:id="18"/>
    </w:p>
    <w:p w14:paraId="504332F7" w14:textId="77777777" w:rsidR="001535CD" w:rsidRDefault="001535CD" w:rsidP="005239E5">
      <w:pPr>
        <w:pStyle w:val="Heading2"/>
        <w:spacing w:before="0" w:after="0"/>
        <w:contextualSpacing/>
      </w:pPr>
      <w:r>
        <w:t>6.1 Desenho do estudo</w:t>
      </w:r>
    </w:p>
    <w:p w14:paraId="3D071DF9" w14:textId="77777777" w:rsidR="001535CD" w:rsidRPr="004F65EF" w:rsidRDefault="001535CD" w:rsidP="005239E5">
      <w:pPr>
        <w:contextualSpacing/>
        <w:rPr>
          <w:rFonts w:cs="Arial"/>
        </w:rPr>
      </w:pPr>
      <w:r>
        <w:t>Estudo internacional, aberto, controlado, multicêntrico, randomizado.</w:t>
      </w:r>
    </w:p>
    <w:p w14:paraId="5515B70B" w14:textId="77777777" w:rsidR="0078764E" w:rsidRDefault="0078764E" w:rsidP="005239E5">
      <w:pPr>
        <w:pStyle w:val="Heading2"/>
        <w:spacing w:before="0" w:after="0"/>
        <w:contextualSpacing/>
      </w:pPr>
      <w:bookmarkStart w:id="19" w:name="_Toc331159148"/>
    </w:p>
    <w:p w14:paraId="3D1BF5D1" w14:textId="0948446C" w:rsidR="001535CD" w:rsidRPr="00E07DF6" w:rsidRDefault="001535CD" w:rsidP="005239E5">
      <w:pPr>
        <w:pStyle w:val="Heading2"/>
        <w:spacing w:before="0" w:after="0"/>
        <w:contextualSpacing/>
      </w:pPr>
      <w:r>
        <w:t>6.2 Critérios de inclusão</w:t>
      </w:r>
      <w:bookmarkEnd w:id="19"/>
    </w:p>
    <w:p w14:paraId="74B21E13" w14:textId="34758973" w:rsidR="00C93CBD" w:rsidRDefault="00C93CBD" w:rsidP="005239E5">
      <w:pPr>
        <w:contextualSpacing/>
        <w:rPr>
          <w:rFonts w:ascii="Gill Sans MT" w:hAnsi="Gill Sans MT"/>
        </w:rPr>
      </w:pPr>
      <w:r>
        <w:t>Pacientes com 65 anos ou mais, que serão submetidos a uma cirurgia eletiva de grande porte, envolvendo o trato gastrointestinal, com duração superior a 90</w:t>
      </w:r>
      <w:r w:rsidR="00642075">
        <w:t> </w:t>
      </w:r>
      <w:r>
        <w:t>minutos.</w:t>
      </w:r>
    </w:p>
    <w:p w14:paraId="7038C638" w14:textId="77777777" w:rsidR="001535CD" w:rsidRDefault="001535CD" w:rsidP="005239E5">
      <w:pPr>
        <w:contextualSpacing/>
        <w:rPr>
          <w:rFonts w:cs="Arial"/>
          <w:szCs w:val="22"/>
        </w:rPr>
      </w:pPr>
    </w:p>
    <w:p w14:paraId="4D195458" w14:textId="1C26CCAF" w:rsidR="001535CD" w:rsidRPr="006A11D3" w:rsidRDefault="001535CD" w:rsidP="005239E5">
      <w:pPr>
        <w:pStyle w:val="Heading2"/>
        <w:spacing w:before="0" w:after="0"/>
        <w:contextualSpacing/>
        <w:rPr>
          <w:u w:val="single"/>
        </w:rPr>
      </w:pPr>
      <w:bookmarkStart w:id="20" w:name="_Toc331159149"/>
      <w:r>
        <w:t>6.3 Critérios de exclusão</w:t>
      </w:r>
      <w:bookmarkEnd w:id="20"/>
    </w:p>
    <w:p w14:paraId="5FC59380" w14:textId="17870921" w:rsidR="0078764E" w:rsidRPr="006C5787" w:rsidRDefault="00E10C29" w:rsidP="00D437A6">
      <w:pPr>
        <w:numPr>
          <w:ilvl w:val="0"/>
          <w:numId w:val="11"/>
        </w:numPr>
        <w:contextualSpacing/>
        <w:rPr>
          <w:rFonts w:ascii="Gill Sans MT" w:hAnsi="Gill Sans MT"/>
        </w:rPr>
      </w:pPr>
      <w:r>
        <w:t>Impossibilidade ou recusa de fornecimento do termo de consentimento livre e esclarecido do paciente</w:t>
      </w:r>
    </w:p>
    <w:p w14:paraId="39B8860B" w14:textId="77777777" w:rsidR="00725129" w:rsidRDefault="00725129" w:rsidP="00D437A6">
      <w:pPr>
        <w:numPr>
          <w:ilvl w:val="0"/>
          <w:numId w:val="11"/>
        </w:numPr>
        <w:contextualSpacing/>
        <w:rPr>
          <w:rFonts w:ascii="Gill Sans MT" w:hAnsi="Gill Sans MT"/>
        </w:rPr>
      </w:pPr>
      <w:r>
        <w:t>Recusa do médico (incluindo a intenção de monitorar o débito cardíaco a partir do início da cirurgia independentemente da designação do grupo do estudo)</w:t>
      </w:r>
    </w:p>
    <w:p w14:paraId="76FB2717" w14:textId="77777777" w:rsidR="007E61D2" w:rsidRDefault="007E61D2" w:rsidP="00D437A6">
      <w:pPr>
        <w:numPr>
          <w:ilvl w:val="0"/>
          <w:numId w:val="11"/>
        </w:numPr>
        <w:contextualSpacing/>
      </w:pPr>
      <w:r>
        <w:t xml:space="preserve">Pontuação de 1 (um) na escala da </w:t>
      </w:r>
      <w:r w:rsidR="00966C85" w:rsidRPr="00D91233">
        <w:rPr>
          <w:i/>
        </w:rPr>
        <w:t>American Society of Anesthesiologists</w:t>
      </w:r>
      <w:r>
        <w:t xml:space="preserve"> (ASA)</w:t>
      </w:r>
    </w:p>
    <w:p w14:paraId="1C17880E" w14:textId="3275E944" w:rsidR="0078764E" w:rsidRDefault="0078764E" w:rsidP="00D437A6">
      <w:pPr>
        <w:numPr>
          <w:ilvl w:val="0"/>
          <w:numId w:val="11"/>
        </w:numPr>
        <w:contextualSpacing/>
      </w:pPr>
      <w:r>
        <w:t>Expectativa de óbito dentro de 30 dias</w:t>
      </w:r>
    </w:p>
    <w:p w14:paraId="4DCB4DBD" w14:textId="77777777" w:rsidR="0078764E" w:rsidRDefault="0078764E" w:rsidP="00D437A6">
      <w:pPr>
        <w:numPr>
          <w:ilvl w:val="0"/>
          <w:numId w:val="11"/>
        </w:numPr>
        <w:contextualSpacing/>
      </w:pPr>
      <w:r>
        <w:t>Isquemia miocárdica aguda dentro de 30 dias antes da randomização</w:t>
      </w:r>
    </w:p>
    <w:p w14:paraId="0B721E89" w14:textId="77777777" w:rsidR="0078764E" w:rsidRDefault="0078764E" w:rsidP="00D437A6">
      <w:pPr>
        <w:numPr>
          <w:ilvl w:val="0"/>
          <w:numId w:val="11"/>
        </w:numPr>
        <w:contextualSpacing/>
      </w:pPr>
      <w:r>
        <w:t>Edema pulmonar agudo dentro de 30 dias antes da randomização</w:t>
      </w:r>
    </w:p>
    <w:p w14:paraId="340A1D33" w14:textId="77777777" w:rsidR="0078764E" w:rsidRDefault="0078764E" w:rsidP="00D437A6">
      <w:pPr>
        <w:numPr>
          <w:ilvl w:val="0"/>
          <w:numId w:val="11"/>
        </w:numPr>
        <w:contextualSpacing/>
      </w:pPr>
      <w:r>
        <w:t>Contraindicação de medicamento inotrópico em dose baixa</w:t>
      </w:r>
    </w:p>
    <w:p w14:paraId="030F068C" w14:textId="7082AAF8" w:rsidR="0078764E" w:rsidRDefault="007E61D2" w:rsidP="00D437A6">
      <w:pPr>
        <w:numPr>
          <w:ilvl w:val="0"/>
          <w:numId w:val="11"/>
        </w:numPr>
        <w:contextualSpacing/>
      </w:pPr>
      <w:r>
        <w:t>Gravidez no momento da inscrição</w:t>
      </w:r>
    </w:p>
    <w:p w14:paraId="727AD43D" w14:textId="77777777" w:rsidR="006C58D6" w:rsidRDefault="006C58D6" w:rsidP="00D437A6">
      <w:pPr>
        <w:numPr>
          <w:ilvl w:val="0"/>
          <w:numId w:val="11"/>
        </w:numPr>
        <w:contextualSpacing/>
      </w:pPr>
      <w:r>
        <w:t xml:space="preserve">Inscrição anterior no </w:t>
      </w:r>
      <w:r w:rsidR="00E43DDD">
        <w:t>estudo</w:t>
      </w:r>
      <w:r>
        <w:t xml:space="preserve"> clínico OPTIMISE II</w:t>
      </w:r>
    </w:p>
    <w:p w14:paraId="6D2D2EE2" w14:textId="5FE5E10E" w:rsidR="00B912CC" w:rsidRDefault="00EB0A3E" w:rsidP="00D437A6">
      <w:pPr>
        <w:pStyle w:val="ListParagraph"/>
        <w:numPr>
          <w:ilvl w:val="0"/>
          <w:numId w:val="11"/>
        </w:numPr>
      </w:pPr>
      <w:r>
        <w:lastRenderedPageBreak/>
        <w:t xml:space="preserve">Participação atual em outro </w:t>
      </w:r>
      <w:r w:rsidR="00E43DDD">
        <w:t>estudo</w:t>
      </w:r>
      <w:r>
        <w:t xml:space="preserve"> clínico </w:t>
      </w:r>
      <w:r w:rsidR="00C83DC0">
        <w:t>com</w:t>
      </w:r>
      <w:r>
        <w:t xml:space="preserve"> tratamento com mecanismo biológico ou medida de resultado primário similar</w:t>
      </w:r>
    </w:p>
    <w:p w14:paraId="796C7548" w14:textId="77777777" w:rsidR="00C25807" w:rsidRDefault="00C25807" w:rsidP="005239E5">
      <w:pPr>
        <w:contextualSpacing/>
        <w:outlineLvl w:val="1"/>
      </w:pPr>
    </w:p>
    <w:p w14:paraId="50DC3B9F" w14:textId="77777777" w:rsidR="00C25807" w:rsidRDefault="00C25807" w:rsidP="005239E5">
      <w:pPr>
        <w:contextualSpacing/>
        <w:outlineLvl w:val="1"/>
      </w:pPr>
    </w:p>
    <w:p w14:paraId="2BE83554" w14:textId="77777777" w:rsidR="001535CD" w:rsidRPr="00E756B1" w:rsidRDefault="001535CD" w:rsidP="005239E5">
      <w:pPr>
        <w:pStyle w:val="Heading1"/>
        <w:spacing w:before="0" w:after="0"/>
        <w:contextualSpacing/>
      </w:pPr>
      <w:bookmarkStart w:id="21" w:name="_Toc466030503"/>
      <w:bookmarkStart w:id="22" w:name="_Toc508183524"/>
      <w:r>
        <w:t>7.</w:t>
      </w:r>
      <w:r>
        <w:tab/>
        <w:t>PROCEDIMENTOS DO ESTUDO</w:t>
      </w:r>
      <w:bookmarkEnd w:id="21"/>
      <w:bookmarkEnd w:id="22"/>
    </w:p>
    <w:p w14:paraId="0652A6F2" w14:textId="77777777" w:rsidR="001535CD" w:rsidRDefault="001535CD" w:rsidP="005239E5">
      <w:pPr>
        <w:pStyle w:val="Heading2"/>
        <w:spacing w:before="0" w:after="0"/>
        <w:contextualSpacing/>
      </w:pPr>
      <w:r>
        <w:t>7.1 Recrutamento e triagem</w:t>
      </w:r>
    </w:p>
    <w:p w14:paraId="2BDB33B5" w14:textId="77777777" w:rsidR="001535CD" w:rsidRDefault="001535CD" w:rsidP="005239E5">
      <w:pPr>
        <w:pStyle w:val="Default"/>
        <w:spacing w:line="360" w:lineRule="auto"/>
        <w:contextualSpacing/>
        <w:jc w:val="both"/>
        <w:outlineLvl w:val="1"/>
        <w:rPr>
          <w:rFonts w:ascii="Arial" w:hAnsi="Arial" w:cs="Arial"/>
          <w:sz w:val="22"/>
          <w:szCs w:val="22"/>
        </w:rPr>
      </w:pPr>
      <w:r>
        <w:rPr>
          <w:rFonts w:ascii="Arial" w:hAnsi="Arial"/>
          <w:sz w:val="22"/>
        </w:rPr>
        <w:t xml:space="preserve">Os participantes em potencial passarão por uma triagem com a equipe de pesquisa no centro do estudo após terem sido localizados em listas de pré-admissão clínica, listas do centro cirúrgico e através da comunicação com as equipes médica e de enfermagem relevantes. Antes da cirurgia, os participantes em potencial serão identificados e abordados por um membro da equipe de pesquisa que participe da equipe de atendimento direto. Sempre que possível, o paciente deverá ser abordado, no mínimo, 24 horas antes da cirurgia para que tenha tempo de esclarecer suas dúvidas. Contudo, devido </w:t>
      </w:r>
      <w:r w:rsidR="001644F9">
        <w:rPr>
          <w:rFonts w:ascii="Arial" w:hAnsi="Arial"/>
          <w:sz w:val="22"/>
        </w:rPr>
        <w:t>à</w:t>
      </w:r>
      <w:r>
        <w:rPr>
          <w:rFonts w:ascii="Arial" w:hAnsi="Arial"/>
          <w:sz w:val="22"/>
        </w:rPr>
        <w:t xml:space="preserve"> natureza dos critérios de inclusão </w:t>
      </w:r>
      <w:r w:rsidR="001644F9">
        <w:rPr>
          <w:rFonts w:ascii="Arial" w:hAnsi="Arial"/>
          <w:sz w:val="22"/>
        </w:rPr>
        <w:t>d</w:t>
      </w:r>
      <w:r>
        <w:rPr>
          <w:rFonts w:ascii="Arial" w:hAnsi="Arial"/>
          <w:sz w:val="22"/>
        </w:rPr>
        <w:t>este estudo, vários pacientes chega</w:t>
      </w:r>
      <w:r w:rsidR="001644F9">
        <w:rPr>
          <w:rFonts w:ascii="Arial" w:hAnsi="Arial"/>
          <w:sz w:val="22"/>
        </w:rPr>
        <w:t>rão</w:t>
      </w:r>
      <w:r>
        <w:rPr>
          <w:rFonts w:ascii="Arial" w:hAnsi="Arial"/>
          <w:sz w:val="22"/>
        </w:rPr>
        <w:t xml:space="preserve"> ao hospital na manhã da cirurgia. Sempre que tenham sido realizados todos os esforços razoáveis para identificar um participante em potencial 24 horas antes da cirurgia, estes sujeitos ainda serão elegíveis para </w:t>
      </w:r>
      <w:r w:rsidR="001644F9">
        <w:rPr>
          <w:rFonts w:ascii="Arial" w:hAnsi="Arial"/>
          <w:sz w:val="22"/>
        </w:rPr>
        <w:t>inclusão</w:t>
      </w:r>
      <w:r>
        <w:rPr>
          <w:rFonts w:ascii="Arial" w:hAnsi="Arial"/>
          <w:sz w:val="22"/>
        </w:rPr>
        <w:t xml:space="preserve"> no estudo dentro de um prazo mais curto</w:t>
      </w:r>
      <w:r w:rsidR="001644F9">
        <w:rPr>
          <w:rFonts w:ascii="Arial" w:hAnsi="Arial"/>
          <w:sz w:val="22"/>
        </w:rPr>
        <w:t>,</w:t>
      </w:r>
      <w:r>
        <w:rPr>
          <w:rFonts w:ascii="Arial" w:hAnsi="Arial"/>
          <w:sz w:val="22"/>
        </w:rPr>
        <w:t xml:space="preserve"> caso </w:t>
      </w:r>
      <w:r w:rsidR="001644F9">
        <w:rPr>
          <w:rFonts w:ascii="Arial" w:hAnsi="Arial"/>
          <w:sz w:val="22"/>
        </w:rPr>
        <w:t>não tenha sido possível atender a</w:t>
      </w:r>
      <w:r>
        <w:rPr>
          <w:rFonts w:ascii="Arial" w:hAnsi="Arial"/>
          <w:sz w:val="22"/>
        </w:rPr>
        <w:t>o critério de 24 horas de antecedência. Deve-se obter o consentimento livre e esclarecido por escrito antes da cirurgia.</w:t>
      </w:r>
    </w:p>
    <w:p w14:paraId="135B7D86" w14:textId="77777777" w:rsidR="00DB634A" w:rsidRDefault="00DB634A" w:rsidP="005239E5">
      <w:pPr>
        <w:pStyle w:val="Default"/>
        <w:spacing w:line="360" w:lineRule="auto"/>
        <w:contextualSpacing/>
        <w:jc w:val="both"/>
        <w:outlineLvl w:val="1"/>
        <w:rPr>
          <w:rFonts w:ascii="Arial" w:hAnsi="Arial" w:cs="Arial"/>
          <w:sz w:val="22"/>
          <w:szCs w:val="22"/>
        </w:rPr>
      </w:pPr>
    </w:p>
    <w:p w14:paraId="37EB3E32" w14:textId="77777777" w:rsidR="001535CD" w:rsidRPr="000709D6" w:rsidRDefault="001535CD" w:rsidP="005239E5">
      <w:pPr>
        <w:pStyle w:val="Heading2"/>
        <w:spacing w:before="0" w:after="0"/>
        <w:contextualSpacing/>
      </w:pPr>
      <w:r>
        <w:t>7.2 Termo de consentimento livre e esclarecido</w:t>
      </w:r>
    </w:p>
    <w:p w14:paraId="56BDC6B3" w14:textId="77777777" w:rsidR="001535CD" w:rsidRPr="0084509B" w:rsidRDefault="001535CD" w:rsidP="005239E5">
      <w:pPr>
        <w:pStyle w:val="Default"/>
        <w:spacing w:line="360" w:lineRule="auto"/>
        <w:contextualSpacing/>
        <w:jc w:val="both"/>
        <w:outlineLvl w:val="1"/>
        <w:rPr>
          <w:rFonts w:ascii="Arial" w:hAnsi="Arial" w:cs="Arial"/>
          <w:sz w:val="22"/>
          <w:szCs w:val="22"/>
        </w:rPr>
      </w:pPr>
      <w:r>
        <w:rPr>
          <w:rFonts w:ascii="Arial" w:hAnsi="Arial"/>
          <w:sz w:val="22"/>
        </w:rPr>
        <w:t xml:space="preserve">O investigador principal (IP) em cada centro do estudo ou as pessoas delegadas pelo IP são responsáveis pela obtenção do consentimento livre e esclarecido por escrito antes da participação do sujeito no </w:t>
      </w:r>
      <w:r w:rsidR="00E43DDD">
        <w:rPr>
          <w:rFonts w:ascii="Arial" w:hAnsi="Arial"/>
          <w:sz w:val="22"/>
        </w:rPr>
        <w:t>estudo</w:t>
      </w:r>
      <w:r>
        <w:rPr>
          <w:rFonts w:ascii="Arial" w:hAnsi="Arial"/>
          <w:sz w:val="22"/>
        </w:rPr>
        <w:t xml:space="preserve"> clínico. Este processo inclui a entrega de um folheto informativo para o paciente, acompanhado do termo de consentimento livre e esclarecido relevante e de uma explicação dos objetivos, métodos, benefícios antecipados e riscos potenciais do </w:t>
      </w:r>
      <w:r w:rsidR="00E43DDD">
        <w:rPr>
          <w:rFonts w:ascii="Arial" w:hAnsi="Arial"/>
          <w:sz w:val="22"/>
        </w:rPr>
        <w:t>estudo</w:t>
      </w:r>
      <w:r>
        <w:rPr>
          <w:rFonts w:ascii="Arial" w:hAnsi="Arial"/>
          <w:sz w:val="22"/>
        </w:rPr>
        <w:t xml:space="preserve"> clínico. O IP ou uma pessoa designada deverá explicar a todos os participantes potenciais sobre a sua liberdade de recusar a </w:t>
      </w:r>
      <w:r w:rsidR="00A61D81">
        <w:rPr>
          <w:rFonts w:ascii="Arial" w:hAnsi="Arial"/>
          <w:sz w:val="22"/>
        </w:rPr>
        <w:t xml:space="preserve">inclusão </w:t>
      </w:r>
      <w:r>
        <w:rPr>
          <w:rFonts w:ascii="Arial" w:hAnsi="Arial"/>
          <w:sz w:val="22"/>
        </w:rPr>
        <w:t xml:space="preserve">no </w:t>
      </w:r>
      <w:r w:rsidR="00E43DDD">
        <w:rPr>
          <w:rFonts w:ascii="Arial" w:hAnsi="Arial"/>
          <w:sz w:val="22"/>
        </w:rPr>
        <w:t>estudo</w:t>
      </w:r>
      <w:r>
        <w:rPr>
          <w:rFonts w:ascii="Arial" w:hAnsi="Arial"/>
          <w:sz w:val="22"/>
        </w:rPr>
        <w:t xml:space="preserve"> clínico ou de poder sair do </w:t>
      </w:r>
      <w:r w:rsidR="00E43DDD">
        <w:rPr>
          <w:rFonts w:ascii="Arial" w:hAnsi="Arial"/>
          <w:sz w:val="22"/>
        </w:rPr>
        <w:t>estudo</w:t>
      </w:r>
      <w:r>
        <w:rPr>
          <w:rFonts w:ascii="Arial" w:hAnsi="Arial"/>
          <w:sz w:val="22"/>
        </w:rPr>
        <w:t xml:space="preserve"> clínico a qualquer momento</w:t>
      </w:r>
      <w:r w:rsidR="00A61D81">
        <w:rPr>
          <w:rFonts w:ascii="Arial" w:hAnsi="Arial"/>
          <w:sz w:val="22"/>
        </w:rPr>
        <w:t xml:space="preserve"> e</w:t>
      </w:r>
      <w:r>
        <w:rPr>
          <w:rFonts w:ascii="Arial" w:hAnsi="Arial"/>
          <w:sz w:val="22"/>
        </w:rPr>
        <w:t xml:space="preserve"> por qualquer motivo. Se novas informações resultarem em mudanças significativas na avaliação de risco/benefício, o folheto informativo para o paciente e o termo de consentimento livre e esclarecido serão revisados e atualizados</w:t>
      </w:r>
      <w:r w:rsidR="00024C13">
        <w:rPr>
          <w:rFonts w:ascii="Arial" w:hAnsi="Arial"/>
          <w:sz w:val="22"/>
        </w:rPr>
        <w:t>,</w:t>
      </w:r>
      <w:r>
        <w:rPr>
          <w:rFonts w:ascii="Arial" w:hAnsi="Arial"/>
          <w:sz w:val="22"/>
        </w:rPr>
        <w:t xml:space="preserve"> caso necessário. Contudo, levando em consideração a curta duração do período de intervenção, é pouco provável que surjam novas informações durante o período de intervenção de um paciente individual. Não serão recrutados pacientes incapazes de dar ou de recusar seu consentimento livre e esclarecido. Os pacientes </w:t>
      </w:r>
      <w:r>
        <w:rPr>
          <w:rFonts w:ascii="Arial" w:hAnsi="Arial"/>
          <w:sz w:val="22"/>
        </w:rPr>
        <w:lastRenderedPageBreak/>
        <w:t xml:space="preserve">que não forem </w:t>
      </w:r>
      <w:r w:rsidR="00E601F2">
        <w:rPr>
          <w:rFonts w:ascii="Arial" w:hAnsi="Arial"/>
          <w:sz w:val="22"/>
        </w:rPr>
        <w:t xml:space="preserve">incluídos </w:t>
      </w:r>
      <w:r>
        <w:rPr>
          <w:rFonts w:ascii="Arial" w:hAnsi="Arial"/>
          <w:sz w:val="22"/>
        </w:rPr>
        <w:t xml:space="preserve">neste </w:t>
      </w:r>
      <w:r w:rsidR="00E43DDD">
        <w:rPr>
          <w:rFonts w:ascii="Arial" w:hAnsi="Arial"/>
          <w:sz w:val="22"/>
        </w:rPr>
        <w:t>estudo</w:t>
      </w:r>
      <w:r>
        <w:rPr>
          <w:rFonts w:ascii="Arial" w:hAnsi="Arial"/>
          <w:sz w:val="22"/>
        </w:rPr>
        <w:t xml:space="preserve"> clínico deve</w:t>
      </w:r>
      <w:r w:rsidR="00E601F2">
        <w:rPr>
          <w:rFonts w:ascii="Arial" w:hAnsi="Arial"/>
          <w:sz w:val="22"/>
        </w:rPr>
        <w:t>rão</w:t>
      </w:r>
      <w:r>
        <w:rPr>
          <w:rFonts w:ascii="Arial" w:hAnsi="Arial"/>
          <w:sz w:val="22"/>
        </w:rPr>
        <w:t xml:space="preserve"> ser incluídos (incluindo o motivo da não </w:t>
      </w:r>
      <w:r w:rsidR="00E601F2">
        <w:rPr>
          <w:rFonts w:ascii="Arial" w:hAnsi="Arial"/>
          <w:sz w:val="22"/>
        </w:rPr>
        <w:t>inclusão</w:t>
      </w:r>
      <w:r>
        <w:rPr>
          <w:rFonts w:ascii="Arial" w:hAnsi="Arial"/>
          <w:sz w:val="22"/>
        </w:rPr>
        <w:t>) no registro de triagem de pacientes no arquivo do investigador do centro do estudo OPTIMISE II.</w:t>
      </w:r>
    </w:p>
    <w:p w14:paraId="497CA641" w14:textId="77777777" w:rsidR="001535CD" w:rsidRPr="00090812" w:rsidRDefault="001535CD" w:rsidP="005239E5">
      <w:pPr>
        <w:widowControl w:val="0"/>
        <w:autoSpaceDE w:val="0"/>
        <w:autoSpaceDN w:val="0"/>
        <w:adjustRightInd w:val="0"/>
        <w:contextualSpacing/>
        <w:jc w:val="both"/>
        <w:rPr>
          <w:rFonts w:cs="Arial"/>
          <w:szCs w:val="22"/>
        </w:rPr>
      </w:pPr>
    </w:p>
    <w:p w14:paraId="4E02F4AA" w14:textId="77777777" w:rsidR="001535CD" w:rsidRPr="00090812" w:rsidRDefault="001535CD" w:rsidP="005239E5">
      <w:pPr>
        <w:pStyle w:val="Heading2"/>
        <w:spacing w:before="0" w:after="0"/>
        <w:contextualSpacing/>
      </w:pPr>
      <w:r>
        <w:t>7.3 Randomização</w:t>
      </w:r>
    </w:p>
    <w:p w14:paraId="6270EA8F" w14:textId="77777777" w:rsidR="001535CD" w:rsidRDefault="001535CD" w:rsidP="005239E5">
      <w:pPr>
        <w:widowControl w:val="0"/>
        <w:autoSpaceDE w:val="0"/>
        <w:autoSpaceDN w:val="0"/>
        <w:adjustRightInd w:val="0"/>
        <w:contextualSpacing/>
        <w:jc w:val="both"/>
        <w:rPr>
          <w:rFonts w:cs="Arial"/>
          <w:szCs w:val="22"/>
        </w:rPr>
      </w:pPr>
      <w:r>
        <w:t xml:space="preserve">A randomização será feita depois que o participante entregar o termo de consentimento livre e esclarecido e pouco antes do início do procedimento cirúrgico. Os participantes serão centralmente designados aos grupos </w:t>
      </w:r>
      <w:r w:rsidR="0073014A">
        <w:t>de</w:t>
      </w:r>
      <w:r>
        <w:t xml:space="preserve"> estudo em uma proporção de 1:1 mediante a minimização com um componente aleatório. As variáveis de minimização s</w:t>
      </w:r>
      <w:r w:rsidR="0073014A">
        <w:t>er</w:t>
      </w:r>
      <w:r>
        <w:t xml:space="preserve">ão país, procedimento cirúrgico, categoria e grau </w:t>
      </w:r>
      <w:r w:rsidR="002D099F">
        <w:t xml:space="preserve">da </w:t>
      </w:r>
      <w:r>
        <w:t xml:space="preserve">ASA. As categorias de procedimento cirúrgico são: ressecção de cólon, reto ou intestino delgado; ressecção de pâncreas e intestino; ressecção do estômago (cirurgia não relacionada à obesidade); ressecção do esôfago (cirurgia não relacionada à obesidade); cirurgia de obesidade; outra cirurgia envolvendo ressecção intestinal. Os graus </w:t>
      </w:r>
      <w:r w:rsidR="00554B6D">
        <w:t xml:space="preserve">da </w:t>
      </w:r>
      <w:r>
        <w:t xml:space="preserve">ASA são: II, III e IV. Cada participante será alocado com 80% de probabilidade para o grupo que minimiza as diferenças intragrupais entre estes fatores entre todos os participantes recrutados para o </w:t>
      </w:r>
      <w:r w:rsidR="00E43DDD">
        <w:t>estudo</w:t>
      </w:r>
      <w:r>
        <w:t xml:space="preserve"> clínico até </w:t>
      </w:r>
      <w:r w:rsidR="00554B6D">
        <w:t>o momento</w:t>
      </w:r>
      <w:r>
        <w:t xml:space="preserve">, e com 20% de probabilidade para o grupo alternativo. Para registrar um paciente no </w:t>
      </w:r>
      <w:r w:rsidR="00E43DDD">
        <w:t>estudo</w:t>
      </w:r>
      <w:r>
        <w:t xml:space="preserve"> clínico OPTIMISE II, a equipe de pesquisa no centro do estudo irá conectar-se a uma plataforma segura de randomização e de entrada de dados baseada na Web, hospedada pela Queen Mary University of London</w:t>
      </w:r>
      <w:r w:rsidR="002C71AD">
        <w:t>,</w:t>
      </w:r>
      <w:r>
        <w:t xml:space="preserve"> e inserir os </w:t>
      </w:r>
      <w:r w:rsidR="002C71AD">
        <w:t xml:space="preserve">dados </w:t>
      </w:r>
      <w:r>
        <w:t>do paciente para obter um número de identificação exclusivo e a designação a um grupo de tratamento. A designação do grupo de tratamento do paciente somente será revelada à pessoa que realiza a randomização.</w:t>
      </w:r>
    </w:p>
    <w:p w14:paraId="20E350C2" w14:textId="77777777" w:rsidR="0052220E" w:rsidRPr="00090812" w:rsidRDefault="0052220E" w:rsidP="005239E5">
      <w:pPr>
        <w:widowControl w:val="0"/>
        <w:autoSpaceDE w:val="0"/>
        <w:autoSpaceDN w:val="0"/>
        <w:adjustRightInd w:val="0"/>
        <w:contextualSpacing/>
        <w:jc w:val="both"/>
        <w:rPr>
          <w:rFonts w:cs="Arial"/>
          <w:szCs w:val="22"/>
        </w:rPr>
      </w:pPr>
    </w:p>
    <w:p w14:paraId="4B9DF007" w14:textId="77777777" w:rsidR="001535CD" w:rsidRDefault="001535CD" w:rsidP="005239E5">
      <w:pPr>
        <w:pStyle w:val="Heading2"/>
        <w:spacing w:before="0" w:after="0"/>
        <w:contextualSpacing/>
      </w:pPr>
      <w:r>
        <w:t xml:space="preserve">7.4 Intervenção do </w:t>
      </w:r>
      <w:r w:rsidR="00E43DDD">
        <w:t>estudo</w:t>
      </w:r>
      <w:r>
        <w:t xml:space="preserve"> clínico</w:t>
      </w:r>
    </w:p>
    <w:p w14:paraId="050E1650" w14:textId="77777777" w:rsidR="00A95573" w:rsidRDefault="00A95573" w:rsidP="005239E5">
      <w:pPr>
        <w:contextualSpacing/>
      </w:pPr>
      <w:r>
        <w:t xml:space="preserve">O período de intervenção do </w:t>
      </w:r>
      <w:r w:rsidR="00E43DDD">
        <w:t>estudo</w:t>
      </w:r>
      <w:r>
        <w:t xml:space="preserve"> clínico começa</w:t>
      </w:r>
      <w:r w:rsidR="00D9495D">
        <w:t>rá</w:t>
      </w:r>
      <w:r>
        <w:t xml:space="preserve"> no </w:t>
      </w:r>
      <w:r>
        <w:rPr>
          <w:b/>
        </w:rPr>
        <w:t xml:space="preserve">início da anestesia geral </w:t>
      </w:r>
      <w:r>
        <w:t>e continua</w:t>
      </w:r>
      <w:r w:rsidR="00D9495D">
        <w:t>rá</w:t>
      </w:r>
      <w:r>
        <w:t xml:space="preserve"> até completar </w:t>
      </w:r>
      <w:r>
        <w:rPr>
          <w:b/>
        </w:rPr>
        <w:t>quatro horas após a finalização da cirurgia</w:t>
      </w:r>
      <w:r>
        <w:t xml:space="preserve"> (duração total máxima: 24 horas).</w:t>
      </w:r>
    </w:p>
    <w:p w14:paraId="087A9F68" w14:textId="77777777" w:rsidR="00A84FC9" w:rsidRDefault="00A84FC9" w:rsidP="005239E5">
      <w:pPr>
        <w:pStyle w:val="Heading2"/>
        <w:spacing w:before="0" w:after="0"/>
        <w:contextualSpacing/>
        <w:rPr>
          <w:b w:val="0"/>
        </w:rPr>
      </w:pPr>
      <w:bookmarkStart w:id="23" w:name="_Toc390686892"/>
    </w:p>
    <w:p w14:paraId="63420FED" w14:textId="77777777" w:rsidR="00A95573" w:rsidRPr="00A95573" w:rsidRDefault="00AD7D41" w:rsidP="005239E5">
      <w:pPr>
        <w:pStyle w:val="Heading2"/>
        <w:spacing w:before="0" w:after="0"/>
        <w:contextualSpacing/>
        <w:rPr>
          <w:b w:val="0"/>
        </w:rPr>
      </w:pPr>
      <w:r>
        <w:rPr>
          <w:b w:val="0"/>
        </w:rPr>
        <w:t>Manejo perioperatório para todos os pacientes</w:t>
      </w:r>
      <w:bookmarkEnd w:id="23"/>
    </w:p>
    <w:p w14:paraId="7869EB4F" w14:textId="5DAAEB99" w:rsidR="00A95573" w:rsidRDefault="00A95573" w:rsidP="005239E5">
      <w:pPr>
        <w:contextualSpacing/>
        <w:jc w:val="both"/>
        <w:rPr>
          <w:rFonts w:cs="Arial"/>
        </w:rPr>
      </w:pPr>
      <w:r>
        <w:t xml:space="preserve">Os cuidados para todos os pacientes foram vagamente definidos para evitar os extremos da prática clínica e também para evitar desajustes da prática. </w:t>
      </w:r>
      <w:r w:rsidR="00966C85">
        <w:fldChar w:fldCharType="begin">
          <w:fldData xml:space="preserve">PEVuZE5vdGU+PENpdGU+PEF1dGhvcj5EZWFuczwvQXV0aG9yPjxZZWFyPjIwMTA8L1llYXI+PFJl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=
</w:fldData>
        </w:fldChar>
      </w:r>
      <w:r w:rsidR="00553CDA">
        <w:instrText xml:space="preserve"> ADDIN EN.CITE </w:instrText>
      </w:r>
      <w:r w:rsidR="00966C85">
        <w:fldChar w:fldCharType="begin">
          <w:fldData xml:space="preserve">PEVuZE5vdGU+PENpdGU+PEF1dGhvcj5EZWFuczwvQXV0aG9yPjxZZWFyPjIwMTA8L1llYXI+PFJl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=
</w:fldData>
        </w:fldChar>
      </w:r>
      <w:r w:rsidR="00553CDA">
        <w:instrText xml:space="preserve"> ADDIN EN.CITE.DATA </w:instrText>
      </w:r>
      <w:r w:rsidR="00966C85">
        <w:fldChar w:fldCharType="end"/>
      </w:r>
      <w:r w:rsidR="00966C85">
        <w:fldChar w:fldCharType="separate"/>
      </w:r>
      <w:r w:rsidR="00553CDA">
        <w:rPr>
          <w:noProof/>
        </w:rPr>
        <w:t>(</w:t>
      </w:r>
      <w:hyperlink w:anchor="_ENREF_11" w:tooltip="Deans, 2010 #352" w:history="1">
        <w:r w:rsidR="00553CDA">
          <w:rPr>
            <w:noProof/>
          </w:rPr>
          <w:t>11</w:t>
        </w:r>
      </w:hyperlink>
      <w:r w:rsidR="00553CDA">
        <w:rPr>
          <w:noProof/>
        </w:rPr>
        <w:t>)</w:t>
      </w:r>
      <w:r w:rsidR="00966C85">
        <w:fldChar w:fldCharType="end"/>
      </w:r>
      <w:r>
        <w:t>. A todos os pacientes serão aplicadas medidas padrão para manter oxigenação (SpO</w:t>
      </w:r>
      <w:r>
        <w:rPr>
          <w:vertAlign w:val="subscript"/>
        </w:rPr>
        <w:t>2</w:t>
      </w:r>
      <w:r w:rsidR="000E2AFE">
        <w:t> </w:t>
      </w:r>
      <w:r w:rsidRPr="00DE02BA">
        <w:sym w:font="Symbol" w:char="F0B3"/>
      </w:r>
      <w:r>
        <w:t xml:space="preserve">94%), hemoglobina (&gt;8 g/dl), temperatura corporal (37 </w:t>
      </w:r>
      <w:r w:rsidRPr="00DE02BA">
        <w:sym w:font="Symbol" w:char="F0B0"/>
      </w:r>
      <w:r>
        <w:t xml:space="preserve">C) e frequência cardíaca (&lt;100 bpm). Um fluído selecionado no procedimento operacional padrão (SOP) para a intervenção do </w:t>
      </w:r>
      <w:r w:rsidR="00E43DDD">
        <w:t>estudo</w:t>
      </w:r>
      <w:r>
        <w:t xml:space="preserve"> clínico será administrado a 1</w:t>
      </w:r>
      <w:r w:rsidR="000E2AFE">
        <w:t> </w:t>
      </w:r>
      <w:r>
        <w:t>ml/kg/hr para satisfazer às exigências de fluído de manutenção. Fluídos adicionais pode</w:t>
      </w:r>
      <w:r w:rsidR="005F2326">
        <w:t>rão</w:t>
      </w:r>
      <w:r>
        <w:t xml:space="preserve"> ser administrados a critério do médico, segundo a frequência cardíaca, pressão arterial, produção de urina, gradiente entre a temperatura central e periférica, nível sérico de lactato e excesso de base. A pressão arterial média será mantida entre 60 e 100</w:t>
      </w:r>
      <w:r w:rsidR="000E2AFE">
        <w:t> </w:t>
      </w:r>
      <w:r>
        <w:t>mmHg usando um agonista adrenérgico alfa</w:t>
      </w:r>
      <w:r w:rsidR="00D27864">
        <w:t xml:space="preserve"> ou um vasodilatador</w:t>
      </w:r>
      <w:r>
        <w:t xml:space="preserve">, conforme necessário. As intervenções do </w:t>
      </w:r>
      <w:r w:rsidR="00E43DDD">
        <w:t>estudo</w:t>
      </w:r>
      <w:r>
        <w:t xml:space="preserve"> clínico </w:t>
      </w:r>
      <w:r w:rsidR="002C5FF9">
        <w:t xml:space="preserve">começarão </w:t>
      </w:r>
      <w:r>
        <w:t>com a indução da anestesia e continua</w:t>
      </w:r>
      <w:r w:rsidR="00A712EE">
        <w:t>rão</w:t>
      </w:r>
      <w:r>
        <w:t xml:space="preserve"> até terem sido completadas 4 horas após o final da cirurgia. A analgesia pós-operatória será administrada a critério do médico por infusão epidural (bupivacaina e fentanila), opioides intratecais (fentanila, morfina, diamorfina), infusão via cateter na ferida (bupivacaina), sistema de analgesia controlado pelo paciente (morfina, fentanila, oxicodona), analgésicos via oral (incluindo morfina ou oxicodona) ou infusão intravenosa (morfina ou fentanila). Se necessário, será administrada sedação pós-operatória com propofol ou midazolam. O período de intervenção dura</w:t>
      </w:r>
      <w:r w:rsidR="00A712EE">
        <w:t>rá</w:t>
      </w:r>
      <w:r>
        <w:t xml:space="preserve">, no máximo, 24 horas (embora a duração na maioria dos casos </w:t>
      </w:r>
      <w:r w:rsidR="00A712EE">
        <w:t>dev</w:t>
      </w:r>
      <w:r w:rsidR="00104BE4">
        <w:t>a</w:t>
      </w:r>
      <w:r w:rsidR="00A712EE">
        <w:t xml:space="preserve"> ser </w:t>
      </w:r>
      <w:r>
        <w:t>muito inferior</w:t>
      </w:r>
      <w:r w:rsidR="00715A5F">
        <w:t xml:space="preserve"> a isso</w:t>
      </w:r>
      <w:r>
        <w:t>).</w:t>
      </w:r>
    </w:p>
    <w:p w14:paraId="12752B57" w14:textId="77777777" w:rsidR="005239E5" w:rsidRDefault="005239E5" w:rsidP="005239E5">
      <w:pPr>
        <w:contextualSpacing/>
        <w:jc w:val="both"/>
        <w:rPr>
          <w:rFonts w:cs="Arial"/>
          <w:szCs w:val="22"/>
        </w:rPr>
      </w:pPr>
    </w:p>
    <w:p w14:paraId="340C62FA" w14:textId="77777777" w:rsidR="001535CD" w:rsidRDefault="001535CD" w:rsidP="005239E5">
      <w:pPr>
        <w:pStyle w:val="Heading3"/>
        <w:spacing w:before="0" w:after="0"/>
        <w:contextualSpacing/>
      </w:pPr>
      <w:r>
        <w:t>Grupo intervenção</w:t>
      </w:r>
    </w:p>
    <w:p w14:paraId="5A3DD767" w14:textId="56FE8767" w:rsidR="001535CD" w:rsidRPr="004668D2" w:rsidRDefault="00A95573" w:rsidP="005239E5">
      <w:pPr>
        <w:contextualSpacing/>
        <w:jc w:val="both"/>
        <w:rPr>
          <w:rFonts w:cs="Arial"/>
          <w:szCs w:val="22"/>
        </w:rPr>
      </w:pPr>
      <w:r>
        <w:t>A intervenção começa</w:t>
      </w:r>
      <w:r w:rsidR="00715A5F">
        <w:t>rá</w:t>
      </w:r>
      <w:r>
        <w:t xml:space="preserve"> a partir da indução da anestesia geral e continua</w:t>
      </w:r>
      <w:r w:rsidR="00715A5F">
        <w:t>rá</w:t>
      </w:r>
      <w:r>
        <w:t xml:space="preserve"> por 4 horas após a finalização da cirurgia. O débito cardíaco e o volume sistólico serão medidos pelo monitor de débito cardíaco. Os investigadores somente pode</w:t>
      </w:r>
      <w:r w:rsidR="00715A5F">
        <w:t>rão</w:t>
      </w:r>
      <w:r>
        <w:t xml:space="preserve"> usar os monitores de débito cardíaco disponíveis comercialmente oferecidos pela Edwards Lifesciences para este </w:t>
      </w:r>
      <w:r w:rsidR="00E43DDD">
        <w:t>estudo</w:t>
      </w:r>
      <w:r>
        <w:t xml:space="preserve"> clínico. Os detalhes específicos da intervenção estão disponíveis no SOP </w:t>
      </w:r>
      <w:r w:rsidR="00866EA2">
        <w:t>d</w:t>
      </w:r>
      <w:r>
        <w:t xml:space="preserve">a intervenção do </w:t>
      </w:r>
      <w:r w:rsidR="00E43DDD">
        <w:t>estudo</w:t>
      </w:r>
      <w:r>
        <w:t xml:space="preserve"> clínico. Os fabricantes dos monitores de débito cardíaco irão fornecer a tecnologia como empréstimo aos centros do </w:t>
      </w:r>
      <w:r w:rsidR="00E43DDD">
        <w:t>estudo</w:t>
      </w:r>
      <w:r>
        <w:t xml:space="preserve"> clínico. Um volume não superior a 500</w:t>
      </w:r>
      <w:r w:rsidR="000E2AFE">
        <w:t> </w:t>
      </w:r>
      <w:r>
        <w:t>ml de flu</w:t>
      </w:r>
      <w:r w:rsidR="00FB63A3">
        <w:t>i</w:t>
      </w:r>
      <w:r>
        <w:t>do intravenoso será administrado antes de começar o monitoramento do débito cardíaco. Além do flu</w:t>
      </w:r>
      <w:r w:rsidR="00FB63A3">
        <w:t>i</w:t>
      </w:r>
      <w:r>
        <w:t>do de manutenção e dos hemoderivados descritos anteriormente, os pacientes receberão uma hidratação intravenosa de 250</w:t>
      </w:r>
      <w:r w:rsidR="000E2AFE">
        <w:t> </w:t>
      </w:r>
      <w:r>
        <w:t xml:space="preserve">ml com uma solução recomendada, conforme necessário, para obter um valor máximo de volume sistólico. A ausência de resposta ao fluido será definida como sendo a ausência de uma elevação continuada do volume sistólico de, no mínimo, 10% durante 20 minutos ou mais. Além disso, os pacientes receberão uma infusão de inotrópico em dose baixa com uma taxa fixa que começará a ser administrada após o início da reposição de fluidos. A escolha do inotrópico será feita a critério do investigador local, segundo a preferência e a disponibilidade no local do </w:t>
      </w:r>
      <w:r w:rsidR="00E43DDD">
        <w:t>estudo</w:t>
      </w:r>
      <w:r>
        <w:t xml:space="preserve"> clínico. As opções são uma dose/taxa de 2,5 </w:t>
      </w:r>
      <w:r>
        <w:rPr>
          <w:rFonts w:ascii="Segoe UI" w:hAnsi="Segoe UI"/>
        </w:rPr>
        <w:t>µ</w:t>
      </w:r>
      <w:r>
        <w:t xml:space="preserve">g/kg/min de dobutamina ou dopexamina a uma dose/taxa equipotente de 0,5 </w:t>
      </w:r>
      <w:r>
        <w:rPr>
          <w:rFonts w:ascii="Segoe UI" w:hAnsi="Segoe UI"/>
        </w:rPr>
        <w:t>µ</w:t>
      </w:r>
      <w:r>
        <w:t>g/kg/min. A taxa de infusão será reduzida e/ou suspensa se o paciente desenvolver taquicardia (frequência cardíaca superior a 100</w:t>
      </w:r>
      <w:r w:rsidR="003C3929">
        <w:t xml:space="preserve"> </w:t>
      </w:r>
      <w:r>
        <w:t>bpm) por mais de 30 minutos apesar da anestesia e analgesia adequadas. A coleta de dados e o seguimento destes pacientes será realiza</w:t>
      </w:r>
      <w:r w:rsidR="00867BC4">
        <w:t>do</w:t>
      </w:r>
      <w:r>
        <w:t xml:space="preserve"> normalmente. Todas as outras decisões de </w:t>
      </w:r>
      <w:r w:rsidR="009D649B">
        <w:t xml:space="preserve">manejo </w:t>
      </w:r>
      <w:r>
        <w:t>serão tomadas pela equipe clínica.</w:t>
      </w:r>
    </w:p>
    <w:p w14:paraId="117D684E" w14:textId="77777777" w:rsidR="00AD7D41" w:rsidRDefault="00AD7D41" w:rsidP="005239E5">
      <w:pPr>
        <w:pStyle w:val="Heading3"/>
        <w:spacing w:before="0" w:after="0"/>
        <w:contextualSpacing/>
      </w:pPr>
    </w:p>
    <w:p w14:paraId="131742AB" w14:textId="77777777" w:rsidR="001535CD" w:rsidRDefault="001535CD" w:rsidP="005239E5">
      <w:pPr>
        <w:pStyle w:val="Heading3"/>
        <w:spacing w:before="0" w:after="0"/>
        <w:contextualSpacing/>
      </w:pPr>
      <w:r>
        <w:t>Grupo de tratamento habitual com cuidados padrão</w:t>
      </w:r>
    </w:p>
    <w:p w14:paraId="7E6554C9" w14:textId="77777777" w:rsidR="00A95573" w:rsidRDefault="00A95573" w:rsidP="005239E5">
      <w:pPr>
        <w:contextualSpacing/>
        <w:jc w:val="both"/>
        <w:rPr>
          <w:rFonts w:cs="Arial"/>
          <w:szCs w:val="22"/>
        </w:rPr>
      </w:pPr>
      <w:r>
        <w:t xml:space="preserve">Os pacientes </w:t>
      </w:r>
      <w:r w:rsidR="00736EF2">
        <w:t>d</w:t>
      </w:r>
      <w:r>
        <w:t xml:space="preserve">o grupo controle receberão cuidados da equipe clínica segundo a prática habitual. Isto incluirá uma hidratação intravenosa de 250 ml com um fluido intravenoso recomendado (consulte o SOP para obter detalhes sobre </w:t>
      </w:r>
      <w:r w:rsidR="00736EF2">
        <w:t>o manejo</w:t>
      </w:r>
      <w:r>
        <w:t xml:space="preserve"> dos pacientes no grupo controle) </w:t>
      </w:r>
      <w:r w:rsidR="00867BC4">
        <w:t xml:space="preserve">que será </w:t>
      </w:r>
      <w:r>
        <w:t xml:space="preserve">administrada a critério do médico, com base na frequência cardíaca, pressão arterial, produção de urina, gradiente entre a temperatura central e periférica, nível sérico de lactato e excesso de base. No caso da necessidade de </w:t>
      </w:r>
      <w:r w:rsidR="00B03BC0">
        <w:t xml:space="preserve">se </w:t>
      </w:r>
      <w:r>
        <w:t xml:space="preserve">usar um desfecho hemodinâmico específico para a hidratação com fluido, geralmente, o mais adequado é usar a elevação continuada da pressão venosa central de, no mínimo, 2 mmHg, durante 20 minutos ou mais. </w:t>
      </w:r>
      <w:r>
        <w:rPr>
          <w:b/>
        </w:rPr>
        <w:t>Os pacientes não devem ser randomizados se o médico pretende usar o monitoramento do débito cardíaco</w:t>
      </w:r>
      <w:r w:rsidR="00CF6797">
        <w:rPr>
          <w:b/>
        </w:rPr>
        <w:t>,</w:t>
      </w:r>
      <w:r>
        <w:rPr>
          <w:b/>
        </w:rPr>
        <w:t xml:space="preserve"> independentemente da atribuição a um grupo do estudo</w:t>
      </w:r>
      <w:r>
        <w:t xml:space="preserve">; isto será considerado como "recusa do médico" e </w:t>
      </w:r>
      <w:r w:rsidR="00CF6797">
        <w:t xml:space="preserve">este </w:t>
      </w:r>
      <w:r>
        <w:t xml:space="preserve">é um critério específico de exclusão. Contudo, a equipe clínica tem a liberdade de solicitar o monitoramento do débito cardíaco se este for necessário </w:t>
      </w:r>
      <w:r w:rsidR="00CC694D">
        <w:t>n</w:t>
      </w:r>
      <w:r>
        <w:t xml:space="preserve">o tratamento de um paciente que ficar gravemente enfermo (por ex.: devido a uma hemorragia grave) durante o período de intervenção do </w:t>
      </w:r>
      <w:r w:rsidR="00E43DDD">
        <w:t>estudo</w:t>
      </w:r>
      <w:r>
        <w:t xml:space="preserve"> clínico. Nesta situação será preenchido um formulário de notificação de desvios de protocolo.</w:t>
      </w:r>
    </w:p>
    <w:p w14:paraId="1072ABD8" w14:textId="77777777" w:rsidR="00A95573" w:rsidRDefault="00A316D0" w:rsidP="005239E5">
      <w:pPr>
        <w:contextualSpacing/>
        <w:jc w:val="both"/>
        <w:rPr>
          <w:rFonts w:cs="Arial"/>
          <w:szCs w:val="22"/>
        </w:rPr>
      </w:pPr>
      <w:r>
        <w:br w:type="page"/>
      </w:r>
    </w:p>
    <w:p w14:paraId="1A3724A9" w14:textId="7D9D7154" w:rsidR="001535CD" w:rsidRDefault="001535CD" w:rsidP="005239E5">
      <w:pPr>
        <w:pStyle w:val="Heading2"/>
        <w:spacing w:before="0" w:after="0"/>
        <w:contextualSpacing/>
        <w:rPr>
          <w:i w:val="0"/>
        </w:rPr>
      </w:pPr>
      <w:r>
        <w:t>7.5 Algoritmo da intervenção</w:t>
      </w:r>
    </w:p>
    <w:p w14:paraId="50861ACB" w14:textId="77777777" w:rsidR="00A316D0" w:rsidRPr="00A316D0" w:rsidRDefault="00A316D0" w:rsidP="005239E5">
      <w:pPr>
        <w:contextualSpacing/>
      </w:pPr>
    </w:p>
    <w:p w14:paraId="43BECED0" w14:textId="37AFD15F" w:rsidR="001535CD" w:rsidRDefault="00EB10BB" w:rsidP="005239E5">
      <w:pPr>
        <w:contextualSpacing/>
        <w:rPr>
          <w:b/>
          <w:i/>
          <w:szCs w:val="20"/>
        </w:rPr>
      </w:pPr>
      <w:r>
        <w:rPr>
          <w:noProof/>
          <w:lang w:val="en-GB" w:eastAsia="en-GB" w:bidi="ar-SA"/>
        </w:rPr>
        <mc:AlternateContent>
          <mc:Choice Requires="wpc">
            <w:drawing>
              <wp:inline distT="0" distB="0" distL="0" distR="0" wp14:anchorId="521301A6" wp14:editId="7C327B44">
                <wp:extent cx="5521960" cy="8335645"/>
                <wp:effectExtent l="19050" t="0" r="21590" b="27305"/>
                <wp:docPr id="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5"/>
                        <wps:cNvSpPr>
                          <a:spLocks noChangeArrowheads="1"/>
                        </wps:cNvSpPr>
                        <wps:spPr bwMode="auto">
                          <a:xfrm>
                            <a:off x="0" y="36195"/>
                            <a:ext cx="5521960" cy="2031365"/>
                          </a:xfrm>
                          <a:prstGeom prst="roundRect">
                            <a:avLst>
                              <a:gd name="adj" fmla="val 16667"/>
                            </a:avLst>
                          </a:prstGeom>
                          <a:solidFill>
                            <a:srgbClr val="FFFFFF"/>
                          </a:solidFill>
                          <a:ln w="38100">
                            <a:solidFill>
                              <a:srgbClr val="FF0000"/>
                            </a:solidFill>
                            <a:round/>
                            <a:headEnd/>
                            <a:tailEnd/>
                          </a:ln>
                        </wps:spPr>
                        <wps:txbx>
                          <w:txbxContent>
                            <w:p w14:paraId="1C623072" w14:textId="77777777" w:rsidR="00C6254B" w:rsidRPr="00F304AB" w:rsidRDefault="00C6254B" w:rsidP="005239E5">
                              <w:pPr>
                                <w:jc w:val="center"/>
                                <w:rPr>
                                  <w:rFonts w:cs="Arial"/>
                                  <w:b/>
                                  <w:color w:val="FF0000"/>
                                  <w:szCs w:val="22"/>
                                </w:rPr>
                              </w:pPr>
                              <w:r>
                                <w:rPr>
                                  <w:b/>
                                  <w:color w:val="FF0000"/>
                                </w:rPr>
                                <w:t>Medidas hemodinâmicas gerais</w:t>
                              </w:r>
                            </w:p>
                            <w:p w14:paraId="7DE93823"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Fluido de manutenção de 1 ml/kg/hr</w:t>
                              </w:r>
                            </w:p>
                            <w:p w14:paraId="771B95CA"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Transfusão sanguínea para manter a hemoglobina &gt;80 g/l</w:t>
                              </w:r>
                            </w:p>
                            <w:p w14:paraId="784E68FB"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Fica a critério do médico ajustar a terapia se estiver preocupado com riscos de hipovolemia ou de sobrecarga de fluidos</w:t>
                              </w:r>
                            </w:p>
                            <w:p w14:paraId="731E5619" w14:textId="77777777" w:rsidR="00C6254B" w:rsidRPr="00F304AB" w:rsidRDefault="00C6254B" w:rsidP="00D437A6">
                              <w:pPr>
                                <w:numPr>
                                  <w:ilvl w:val="0"/>
                                  <w:numId w:val="14"/>
                                </w:numPr>
                                <w:spacing w:line="240" w:lineRule="auto"/>
                                <w:rPr>
                                  <w:rFonts w:cs="Arial"/>
                                  <w:b/>
                                  <w:color w:val="FF0000"/>
                                  <w:sz w:val="20"/>
                                  <w:szCs w:val="20"/>
                                </w:rPr>
                              </w:pPr>
                              <w:r>
                                <w:rPr>
                                  <w:b/>
                                  <w:color w:val="FF0000"/>
                                  <w:sz w:val="20"/>
                                </w:rPr>
                                <w:t>Pressão arterial média de 60-100 mmHg; Sp0</w:t>
                              </w:r>
                              <w:r>
                                <w:rPr>
                                  <w:b/>
                                  <w:color w:val="FF0000"/>
                                  <w:sz w:val="20"/>
                                  <w:vertAlign w:val="subscript"/>
                                </w:rPr>
                                <w:t>2</w:t>
                              </w:r>
                              <w:r>
                                <w:rPr>
                                  <w:b/>
                                  <w:color w:val="FF0000"/>
                                  <w:sz w:val="20"/>
                                </w:rPr>
                                <w:t xml:space="preserve"> ≥94%; temperatura de 37°C; frequência cardíaca &lt;100 bpm</w:t>
                              </w:r>
                            </w:p>
                            <w:p w14:paraId="6DD9F317" w14:textId="77777777" w:rsidR="00C6254B" w:rsidRPr="00F81D8F" w:rsidRDefault="00C6254B" w:rsidP="00D437A6">
                              <w:pPr>
                                <w:numPr>
                                  <w:ilvl w:val="0"/>
                                  <w:numId w:val="14"/>
                                </w:numPr>
                                <w:spacing w:before="120" w:after="120"/>
                              </w:pPr>
                            </w:p>
                          </w:txbxContent>
                        </wps:txbx>
                        <wps:bodyPr rot="0" vert="horz" wrap="square" lIns="91440" tIns="45720" rIns="91440" bIns="45720" anchor="t" anchorCtr="0" upright="1">
                          <a:noAutofit/>
                        </wps:bodyPr>
                      </wps:wsp>
                      <wps:wsp>
                        <wps:cNvPr id="2" name="AutoShape 6"/>
                        <wps:cNvSpPr>
                          <a:spLocks noChangeArrowheads="1"/>
                        </wps:cNvSpPr>
                        <wps:spPr bwMode="auto">
                          <a:xfrm>
                            <a:off x="0" y="2115820"/>
                            <a:ext cx="5521960" cy="3476625"/>
                          </a:xfrm>
                          <a:prstGeom prst="roundRect">
                            <a:avLst>
                              <a:gd name="adj" fmla="val 16667"/>
                            </a:avLst>
                          </a:prstGeom>
                          <a:solidFill>
                            <a:srgbClr val="FFFFFF"/>
                          </a:solidFill>
                          <a:ln w="38100">
                            <a:solidFill>
                              <a:srgbClr val="008000"/>
                            </a:solidFill>
                            <a:round/>
                            <a:headEnd/>
                            <a:tailEnd/>
                          </a:ln>
                        </wps:spPr>
                        <wps:txbx>
                          <w:txbxContent>
                            <w:p w14:paraId="570CEF01" w14:textId="77777777" w:rsidR="00C6254B" w:rsidRPr="00F304AB" w:rsidRDefault="00C6254B" w:rsidP="005239E5">
                              <w:pPr>
                                <w:jc w:val="center"/>
                                <w:rPr>
                                  <w:rFonts w:cs="Arial"/>
                                  <w:color w:val="008000"/>
                                  <w:szCs w:val="22"/>
                                </w:rPr>
                              </w:pPr>
                              <w:r>
                                <w:rPr>
                                  <w:b/>
                                  <w:color w:val="008000"/>
                                </w:rPr>
                                <w:t>Administração de fluido para atingir um resultado em volume sistólico</w:t>
                              </w:r>
                            </w:p>
                            <w:p w14:paraId="2639E437" w14:textId="77777777" w:rsidR="00C6254B" w:rsidRDefault="00C6254B" w:rsidP="00032EDE">
                              <w:pPr>
                                <w:numPr>
                                  <w:ilvl w:val="0"/>
                                  <w:numId w:val="15"/>
                                </w:numPr>
                                <w:spacing w:before="120" w:after="120"/>
                                <w:rPr>
                                  <w:rFonts w:cs="Arial"/>
                                  <w:b/>
                                  <w:color w:val="008000"/>
                                  <w:sz w:val="20"/>
                                  <w:szCs w:val="20"/>
                                </w:rPr>
                              </w:pPr>
                              <w:r>
                                <w:rPr>
                                  <w:b/>
                                  <w:color w:val="008000"/>
                                  <w:sz w:val="20"/>
                                </w:rPr>
                                <w:t>250 ml de bolus de fluido para atingir o valor máximo de volume sistólico</w:t>
                              </w:r>
                            </w:p>
                            <w:p w14:paraId="15F4C635" w14:textId="77777777" w:rsidR="00C6254B" w:rsidRPr="00B47E99" w:rsidRDefault="00C6254B" w:rsidP="00032EDE">
                              <w:pPr>
                                <w:numPr>
                                  <w:ilvl w:val="0"/>
                                  <w:numId w:val="15"/>
                                </w:numPr>
                                <w:spacing w:before="120" w:after="120"/>
                                <w:rPr>
                                  <w:rFonts w:cs="Arial"/>
                                  <w:b/>
                                  <w:color w:val="008000"/>
                                  <w:sz w:val="20"/>
                                  <w:szCs w:val="20"/>
                                </w:rPr>
                              </w:pPr>
                              <w:r>
                                <w:rPr>
                                  <w:b/>
                                  <w:color w:val="008000"/>
                                  <w:sz w:val="20"/>
                                </w:rPr>
                                <w:t>As hidratações venosas vigorosas não devem continuar em pacientes não responsivos ao fluido em termos de aumento do volume sistólico</w:t>
                              </w:r>
                            </w:p>
                            <w:p w14:paraId="6A64A9E1" w14:textId="7C1D5D99" w:rsidR="00C6254B" w:rsidRPr="00491C96" w:rsidRDefault="00C6254B" w:rsidP="00D437A6">
                              <w:pPr>
                                <w:numPr>
                                  <w:ilvl w:val="0"/>
                                  <w:numId w:val="15"/>
                                </w:numPr>
                                <w:spacing w:before="120" w:after="120"/>
                                <w:rPr>
                                  <w:rFonts w:cs="Arial"/>
                                  <w:b/>
                                  <w:color w:val="008000"/>
                                  <w:sz w:val="20"/>
                                  <w:szCs w:val="20"/>
                                </w:rPr>
                              </w:pPr>
                              <w:r>
                                <w:rPr>
                                  <w:b/>
                                  <w:color w:val="008000"/>
                                  <w:sz w:val="20"/>
                                </w:rPr>
                                <w:t>A resposta ao fluido é definida como sendo um aumento no volume sistólico igual ou superior a 10%</w:t>
                              </w:r>
                            </w:p>
                            <w:p w14:paraId="32D619A5" w14:textId="77777777" w:rsidR="00C6254B" w:rsidRPr="00F304AB" w:rsidRDefault="00C6254B" w:rsidP="00D437A6">
                              <w:pPr>
                                <w:numPr>
                                  <w:ilvl w:val="0"/>
                                  <w:numId w:val="15"/>
                                </w:numPr>
                                <w:spacing w:before="120" w:after="120"/>
                                <w:rPr>
                                  <w:rFonts w:cs="Arial"/>
                                  <w:b/>
                                  <w:color w:val="008000"/>
                                  <w:sz w:val="20"/>
                                  <w:szCs w:val="20"/>
                                </w:rPr>
                              </w:pPr>
                              <w:r>
                                <w:rPr>
                                  <w:b/>
                                  <w:color w:val="008000"/>
                                  <w:sz w:val="20"/>
                                </w:rPr>
                                <w:t>Se o volume sistólico diminuir recomenda-se um aumento das hidratações sistólicas</w:t>
                              </w:r>
                            </w:p>
                            <w:p w14:paraId="5AA2A0E9" w14:textId="77777777" w:rsidR="00C6254B" w:rsidRPr="00C20BBB" w:rsidRDefault="00C6254B" w:rsidP="00D437A6">
                              <w:pPr>
                                <w:numPr>
                                  <w:ilvl w:val="0"/>
                                  <w:numId w:val="15"/>
                                </w:numPr>
                                <w:spacing w:before="120" w:after="120"/>
                                <w:rPr>
                                  <w:rFonts w:cs="Arial"/>
                                  <w:b/>
                                  <w:sz w:val="20"/>
                                  <w:szCs w:val="20"/>
                                </w:rPr>
                              </w:pPr>
                              <w:r>
                                <w:rPr>
                                  <w:b/>
                                  <w:color w:val="008000"/>
                                  <w:sz w:val="20"/>
                                </w:rPr>
                                <w:t>Uma resposta persistente de volume sistólico sugere uma perda contínua de fluido</w:t>
                              </w:r>
                            </w:p>
                            <w:p w14:paraId="2C03FFE9" w14:textId="77777777" w:rsidR="00C6254B" w:rsidRPr="00F304AB" w:rsidRDefault="00C6254B" w:rsidP="00D437A6">
                              <w:pPr>
                                <w:numPr>
                                  <w:ilvl w:val="0"/>
                                  <w:numId w:val="15"/>
                                </w:numPr>
                                <w:spacing w:before="120" w:after="120"/>
                                <w:rPr>
                                  <w:rFonts w:cs="Arial"/>
                                  <w:b/>
                                  <w:sz w:val="20"/>
                                  <w:szCs w:val="20"/>
                                </w:rPr>
                              </w:pPr>
                              <w:r>
                                <w:rPr>
                                  <w:b/>
                                  <w:color w:val="008000"/>
                                  <w:sz w:val="20"/>
                                </w:rPr>
                                <w:t>Não é recomendada uma hidratação venosa vigorosa se a variação do volume sistólico for inferior a 5%</w:t>
                              </w:r>
                            </w:p>
                          </w:txbxContent>
                        </wps:txbx>
                        <wps:bodyPr rot="0" vert="horz" wrap="square" lIns="91440" tIns="45720" rIns="91440" bIns="45720" anchor="t" anchorCtr="0" upright="1">
                          <a:noAutofit/>
                        </wps:bodyPr>
                      </wps:wsp>
                      <wps:wsp>
                        <wps:cNvPr id="3" name="AutoShape 7"/>
                        <wps:cNvSpPr>
                          <a:spLocks noChangeArrowheads="1"/>
                        </wps:cNvSpPr>
                        <wps:spPr bwMode="auto">
                          <a:xfrm>
                            <a:off x="0" y="5649595"/>
                            <a:ext cx="5521960" cy="1586865"/>
                          </a:xfrm>
                          <a:prstGeom prst="roundRect">
                            <a:avLst>
                              <a:gd name="adj" fmla="val 16667"/>
                            </a:avLst>
                          </a:prstGeom>
                          <a:solidFill>
                            <a:srgbClr val="FFFFFF"/>
                          </a:solidFill>
                          <a:ln w="38100">
                            <a:solidFill>
                              <a:srgbClr val="000080"/>
                            </a:solidFill>
                            <a:round/>
                            <a:headEnd/>
                            <a:tailEnd/>
                          </a:ln>
                        </wps:spPr>
                        <wps:txbx>
                          <w:txbxContent>
                            <w:p w14:paraId="51C1E237" w14:textId="77777777" w:rsidR="00C6254B" w:rsidRPr="005239E5" w:rsidRDefault="00C6254B" w:rsidP="005239E5">
                              <w:pPr>
                                <w:jc w:val="center"/>
                                <w:rPr>
                                  <w:rFonts w:cs="Arial"/>
                                  <w:b/>
                                  <w:color w:val="000080"/>
                                  <w:szCs w:val="22"/>
                                </w:rPr>
                              </w:pPr>
                              <w:r>
                                <w:rPr>
                                  <w:b/>
                                  <w:color w:val="000080"/>
                                </w:rPr>
                                <w:t>Infusão de inotrópico em dose baixa</w:t>
                              </w:r>
                            </w:p>
                            <w:p w14:paraId="16103C3D" w14:textId="77777777" w:rsidR="00C6254B" w:rsidRPr="005239E5" w:rsidRDefault="00C6254B" w:rsidP="00D437A6">
                              <w:pPr>
                                <w:numPr>
                                  <w:ilvl w:val="0"/>
                                  <w:numId w:val="16"/>
                                </w:numPr>
                                <w:rPr>
                                  <w:b/>
                                  <w:color w:val="000080"/>
                                  <w:sz w:val="20"/>
                                  <w:szCs w:val="20"/>
                                </w:rPr>
                              </w:pPr>
                              <w:r>
                                <w:rPr>
                                  <w:b/>
                                  <w:color w:val="000080"/>
                                  <w:sz w:val="20"/>
                                </w:rPr>
                                <w:t>Iniciar a infusão da dose fixa de dobutamina (2,5 µg/kg/min) ou de dopexamina (0,5 µg/kg/min) após a primeira hidratação venosa vigorosa.</w:t>
                              </w:r>
                            </w:p>
                            <w:p w14:paraId="07E3A4FD" w14:textId="77777777" w:rsidR="00C6254B" w:rsidRPr="005239E5" w:rsidRDefault="00C6254B" w:rsidP="00D437A6">
                              <w:pPr>
                                <w:numPr>
                                  <w:ilvl w:val="0"/>
                                  <w:numId w:val="16"/>
                                </w:numPr>
                                <w:rPr>
                                  <w:b/>
                                  <w:color w:val="000080"/>
                                  <w:sz w:val="20"/>
                                  <w:szCs w:val="20"/>
                                </w:rPr>
                              </w:pPr>
                              <w:r>
                                <w:rPr>
                                  <w:b/>
                                  <w:color w:val="000080"/>
                                  <w:sz w:val="20"/>
                                </w:rPr>
                                <w:t>Reduzir a dose pela metade se a frequência cardíaca aumenta além de 100 bpm durante mais de 30 minutos.</w:t>
                              </w:r>
                            </w:p>
                            <w:p w14:paraId="433D338F" w14:textId="77777777" w:rsidR="00C6254B" w:rsidRPr="005239E5" w:rsidRDefault="00C6254B" w:rsidP="00D437A6">
                              <w:pPr>
                                <w:numPr>
                                  <w:ilvl w:val="0"/>
                                  <w:numId w:val="16"/>
                                </w:numPr>
                                <w:rPr>
                                  <w:b/>
                                  <w:color w:val="000080"/>
                                  <w:sz w:val="20"/>
                                  <w:szCs w:val="20"/>
                                </w:rPr>
                              </w:pPr>
                              <w:r>
                                <w:rPr>
                                  <w:b/>
                                  <w:color w:val="000080"/>
                                  <w:sz w:val="20"/>
                                </w:rPr>
                                <w:t>Suspender a infusão se a taquicardia persistir.</w:t>
                              </w:r>
                            </w:p>
                          </w:txbxContent>
                        </wps:txbx>
                        <wps:bodyPr rot="0" vert="horz" wrap="square" lIns="91440" tIns="45720" rIns="91440" bIns="45720" anchor="t" anchorCtr="0" upright="1">
                          <a:noAutofit/>
                        </wps:bodyPr>
                      </wps:wsp>
                      <wps:wsp>
                        <wps:cNvPr id="4" name="AutoShape 11"/>
                        <wps:cNvSpPr>
                          <a:spLocks noChangeArrowheads="1"/>
                        </wps:cNvSpPr>
                        <wps:spPr bwMode="auto">
                          <a:xfrm>
                            <a:off x="0" y="7287895"/>
                            <a:ext cx="5521960" cy="1047750"/>
                          </a:xfrm>
                          <a:prstGeom prst="roundRect">
                            <a:avLst>
                              <a:gd name="adj" fmla="val 16667"/>
                            </a:avLst>
                          </a:prstGeom>
                          <a:noFill/>
                          <a:ln w="38100">
                            <a:solidFill>
                              <a:srgbClr val="891B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2"/>
                        <wps:cNvSpPr txBox="1">
                          <a:spLocks noChangeArrowheads="1"/>
                        </wps:cNvSpPr>
                        <wps:spPr bwMode="auto">
                          <a:xfrm>
                            <a:off x="95250" y="7325995"/>
                            <a:ext cx="5343525" cy="95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2FE5E" w14:textId="77777777" w:rsidR="00C6254B" w:rsidRPr="00E069DC" w:rsidRDefault="00C6254B" w:rsidP="00E069DC">
                              <w:pPr>
                                <w:spacing w:line="288" w:lineRule="auto"/>
                                <w:jc w:val="center"/>
                                <w:rPr>
                                  <w:b/>
                                  <w:color w:val="891B52"/>
                                  <w:sz w:val="20"/>
                                  <w:szCs w:val="20"/>
                                </w:rPr>
                              </w:pPr>
                              <w:r w:rsidRPr="00E069DC">
                                <w:rPr>
                                  <w:b/>
                                  <w:color w:val="891B52"/>
                                  <w:sz w:val="20"/>
                                  <w:szCs w:val="20"/>
                                </w:rPr>
                                <w:t>O que acontece se for necessário sangue ou fluido intravenoso independentemente do volume sistólico?</w:t>
                              </w:r>
                            </w:p>
                            <w:p w14:paraId="3F1DE39B" w14:textId="623E1A05" w:rsidR="00C6254B" w:rsidRPr="00E069DC" w:rsidRDefault="00C6254B" w:rsidP="00E069DC">
                              <w:pPr>
                                <w:pStyle w:val="ListParagraph"/>
                                <w:numPr>
                                  <w:ilvl w:val="0"/>
                                  <w:numId w:val="40"/>
                                </w:numPr>
                                <w:spacing w:line="288" w:lineRule="auto"/>
                                <w:ind w:left="357" w:hanging="357"/>
                                <w:rPr>
                                  <w:b/>
                                  <w:color w:val="891B52"/>
                                  <w:sz w:val="20"/>
                                  <w:szCs w:val="20"/>
                                </w:rPr>
                              </w:pPr>
                              <w:r w:rsidRPr="00E069DC">
                                <w:rPr>
                                  <w:b/>
                                  <w:color w:val="891B52"/>
                                  <w:sz w:val="20"/>
                                  <w:szCs w:val="20"/>
                                </w:rPr>
                                <w:t>Se for necessário administrar hemoderivados ou hidratações venosas vigorosas adicionais, o volume sistólico deverá ser monitorado para identificar qualquer alteração no volume sistólico máximo</w:t>
                              </w:r>
                            </w:p>
                          </w:txbxContent>
                        </wps:txbx>
                        <wps:bodyPr rot="0" vert="horz" wrap="square" lIns="91440" tIns="28800" rIns="72000" bIns="28800" anchor="t" anchorCtr="0" upright="1">
                          <a:noAutofit/>
                        </wps:bodyPr>
                      </wps:wsp>
                    </wpc:wpc>
                  </a:graphicData>
                </a:graphic>
              </wp:inline>
            </w:drawing>
          </mc:Choice>
          <mc:Fallback>
            <w:pict>
              <v:group id="Canvas 16" o:spid="_x0000_s1028" editas="canvas" style="width:434.8pt;height:656.35pt;mso-position-horizontal-relative:char;mso-position-vertical-relative:line" coordsize="55219,8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219;height:83356;visibility:visible;mso-wrap-style:square">
                  <v:fill o:detectmouseclick="t"/>
                  <v:path o:connecttype="none"/>
                </v:shape>
                <v:roundrect id="AutoShape 5" o:spid="_x0000_s1030" style="position:absolute;top:361;width:55219;height:203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hUrwA&#10;AADaAAAADwAAAGRycy9kb3ducmV2LnhtbERPSwrCMBDdC94hjOBOU12IVKOIIooI4gdxOTRjW2wm&#10;pYm23t4Igqvh8b4znTemEC+qXG5ZwaAfgSBOrM45VXA5r3tjEM4jaywsk4I3OZjP2q0pxtrWfKTX&#10;yacihLCLUUHmfRlL6ZKMDLq+LYkDd7eVQR9glUpdYR3CTSGHUTSSBnMODRmWtMwoeZyeRsFmtaH9&#10;vZHXejdwB3M7J1F9dEp1O81iAsJT4//in3urw3z4vvK9cvY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HeFSvAAAANoAAAAPAAAAAAAAAAAAAAAAAJgCAABkcnMvZG93bnJldi54&#10;bWxQSwUGAAAAAAQABAD1AAAAgQMAAAAA&#10;" strokecolor="red" strokeweight="3pt">
                  <v:textbox>
                    <w:txbxContent>
                      <w:p w14:paraId="1C623072" w14:textId="77777777" w:rsidR="00C6254B" w:rsidRPr="00F304AB" w:rsidRDefault="00C6254B" w:rsidP="005239E5">
                        <w:pPr>
                          <w:jc w:val="center"/>
                          <w:rPr>
                            <w:rFonts w:cs="Arial"/>
                            <w:b/>
                            <w:color w:val="FF0000"/>
                            <w:szCs w:val="22"/>
                          </w:rPr>
                        </w:pPr>
                        <w:r>
                          <w:rPr>
                            <w:b/>
                            <w:color w:val="FF0000"/>
                          </w:rPr>
                          <w:t>Medidas hemodinâmicas gerais</w:t>
                        </w:r>
                      </w:p>
                      <w:p w14:paraId="7DE93823"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Fluido de manutenção de 1 ml/kg/hr</w:t>
                        </w:r>
                      </w:p>
                      <w:p w14:paraId="771B95CA"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Transfusão sanguínea para manter a hemoglobina &gt;80 g/l</w:t>
                        </w:r>
                      </w:p>
                      <w:p w14:paraId="784E68FB" w14:textId="77777777" w:rsidR="00C6254B" w:rsidRPr="00F304AB" w:rsidRDefault="00C6254B" w:rsidP="00D437A6">
                        <w:pPr>
                          <w:numPr>
                            <w:ilvl w:val="0"/>
                            <w:numId w:val="14"/>
                          </w:numPr>
                          <w:spacing w:before="120" w:after="120"/>
                          <w:rPr>
                            <w:rFonts w:cs="Arial"/>
                            <w:b/>
                            <w:color w:val="FF0000"/>
                            <w:sz w:val="20"/>
                            <w:szCs w:val="20"/>
                          </w:rPr>
                        </w:pPr>
                        <w:r>
                          <w:rPr>
                            <w:b/>
                            <w:color w:val="FF0000"/>
                            <w:sz w:val="20"/>
                          </w:rPr>
                          <w:t>Fica a critério do médico ajustar a terapia se estiver preocupado com riscos de hipovolemia ou de sobrecarga de fluidos</w:t>
                        </w:r>
                      </w:p>
                      <w:p w14:paraId="731E5619" w14:textId="77777777" w:rsidR="00C6254B" w:rsidRPr="00F304AB" w:rsidRDefault="00C6254B" w:rsidP="00D437A6">
                        <w:pPr>
                          <w:numPr>
                            <w:ilvl w:val="0"/>
                            <w:numId w:val="14"/>
                          </w:numPr>
                          <w:spacing w:line="240" w:lineRule="auto"/>
                          <w:rPr>
                            <w:rFonts w:cs="Arial"/>
                            <w:b/>
                            <w:color w:val="FF0000"/>
                            <w:sz w:val="20"/>
                            <w:szCs w:val="20"/>
                          </w:rPr>
                        </w:pPr>
                        <w:r>
                          <w:rPr>
                            <w:b/>
                            <w:color w:val="FF0000"/>
                            <w:sz w:val="20"/>
                          </w:rPr>
                          <w:t>Pressão arterial média de 60-100 mmHg; Sp0</w:t>
                        </w:r>
                        <w:r>
                          <w:rPr>
                            <w:b/>
                            <w:color w:val="FF0000"/>
                            <w:sz w:val="20"/>
                            <w:vertAlign w:val="subscript"/>
                          </w:rPr>
                          <w:t>2</w:t>
                        </w:r>
                        <w:r>
                          <w:rPr>
                            <w:b/>
                            <w:color w:val="FF0000"/>
                            <w:sz w:val="20"/>
                          </w:rPr>
                          <w:t xml:space="preserve"> ≥94%; temperatura de 37°C; frequência cardíaca &lt;100 bpm</w:t>
                        </w:r>
                      </w:p>
                      <w:p w14:paraId="6DD9F317" w14:textId="77777777" w:rsidR="00C6254B" w:rsidRPr="00F81D8F" w:rsidRDefault="00C6254B" w:rsidP="00D437A6">
                        <w:pPr>
                          <w:numPr>
                            <w:ilvl w:val="0"/>
                            <w:numId w:val="14"/>
                          </w:numPr>
                          <w:spacing w:before="120" w:after="120"/>
                        </w:pPr>
                      </w:p>
                    </w:txbxContent>
                  </v:textbox>
                </v:roundrect>
                <v:roundrect id="AutoShape 6" o:spid="_x0000_s1031" style="position:absolute;top:21158;width:55219;height:347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pOMIA&#10;AADaAAAADwAAAGRycy9kb3ducmV2LnhtbESPQWuDQBSE74X+h+UVemvWGGiDcRURAp5KmoacH+6L&#10;Sty3xl2N+ffdQqHHYWa+YdJ8Mb2YaXSdZQXrVQSCuLa640bB6Xv/tgXhPLLG3jIpeJCDPHt+SjHR&#10;9s5fNB99IwKEXYIKWu+HREpXt2TQrexAHLyLHQ36IMdG6hHvAW56GUfRuzTYcVhocaCypfp6nIyC&#10;Yornc/l5+Ojq28YNB/kwm6pU6vVlKXYgPC3+P/zXrrSCGH6vhBs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Sk4wgAAANoAAAAPAAAAAAAAAAAAAAAAAJgCAABkcnMvZG93&#10;bnJldi54bWxQSwUGAAAAAAQABAD1AAAAhwMAAAAA&#10;" strokecolor="green" strokeweight="3pt">
                  <v:textbox>
                    <w:txbxContent>
                      <w:p w14:paraId="570CEF01" w14:textId="77777777" w:rsidR="00C6254B" w:rsidRPr="00F304AB" w:rsidRDefault="00C6254B" w:rsidP="005239E5">
                        <w:pPr>
                          <w:jc w:val="center"/>
                          <w:rPr>
                            <w:rFonts w:cs="Arial"/>
                            <w:color w:val="008000"/>
                            <w:szCs w:val="22"/>
                          </w:rPr>
                        </w:pPr>
                        <w:r>
                          <w:rPr>
                            <w:b/>
                            <w:color w:val="008000"/>
                          </w:rPr>
                          <w:t>Administração de fluido para atingir um resultado em volume sistólico</w:t>
                        </w:r>
                      </w:p>
                      <w:p w14:paraId="2639E437" w14:textId="77777777" w:rsidR="00C6254B" w:rsidRDefault="00C6254B" w:rsidP="00032EDE">
                        <w:pPr>
                          <w:numPr>
                            <w:ilvl w:val="0"/>
                            <w:numId w:val="15"/>
                          </w:numPr>
                          <w:spacing w:before="120" w:after="120"/>
                          <w:rPr>
                            <w:rFonts w:cs="Arial"/>
                            <w:b/>
                            <w:color w:val="008000"/>
                            <w:sz w:val="20"/>
                            <w:szCs w:val="20"/>
                          </w:rPr>
                        </w:pPr>
                        <w:r>
                          <w:rPr>
                            <w:b/>
                            <w:color w:val="008000"/>
                            <w:sz w:val="20"/>
                          </w:rPr>
                          <w:t>250 ml de bolus de fluido para atingir o valor máximo de volume sistólico</w:t>
                        </w:r>
                      </w:p>
                      <w:p w14:paraId="15F4C635" w14:textId="77777777" w:rsidR="00C6254B" w:rsidRPr="00B47E99" w:rsidRDefault="00C6254B" w:rsidP="00032EDE">
                        <w:pPr>
                          <w:numPr>
                            <w:ilvl w:val="0"/>
                            <w:numId w:val="15"/>
                          </w:numPr>
                          <w:spacing w:before="120" w:after="120"/>
                          <w:rPr>
                            <w:rFonts w:cs="Arial"/>
                            <w:b/>
                            <w:color w:val="008000"/>
                            <w:sz w:val="20"/>
                            <w:szCs w:val="20"/>
                          </w:rPr>
                        </w:pPr>
                        <w:r>
                          <w:rPr>
                            <w:b/>
                            <w:color w:val="008000"/>
                            <w:sz w:val="20"/>
                          </w:rPr>
                          <w:t>As hidratações venosas vigorosas não devem continuar em pacientes não responsivos ao fluido em termos de aumento do volume sistólico</w:t>
                        </w:r>
                      </w:p>
                      <w:p w14:paraId="6A64A9E1" w14:textId="7C1D5D99" w:rsidR="00C6254B" w:rsidRPr="00491C96" w:rsidRDefault="00C6254B" w:rsidP="00D437A6">
                        <w:pPr>
                          <w:numPr>
                            <w:ilvl w:val="0"/>
                            <w:numId w:val="15"/>
                          </w:numPr>
                          <w:spacing w:before="120" w:after="120"/>
                          <w:rPr>
                            <w:rFonts w:cs="Arial"/>
                            <w:b/>
                            <w:color w:val="008000"/>
                            <w:sz w:val="20"/>
                            <w:szCs w:val="20"/>
                          </w:rPr>
                        </w:pPr>
                        <w:r>
                          <w:rPr>
                            <w:b/>
                            <w:color w:val="008000"/>
                            <w:sz w:val="20"/>
                          </w:rPr>
                          <w:t>A resposta ao fluido é definida como sendo um aumento no volume sistólico igual ou superior a 10%</w:t>
                        </w:r>
                      </w:p>
                      <w:p w14:paraId="32D619A5" w14:textId="77777777" w:rsidR="00C6254B" w:rsidRPr="00F304AB" w:rsidRDefault="00C6254B" w:rsidP="00D437A6">
                        <w:pPr>
                          <w:numPr>
                            <w:ilvl w:val="0"/>
                            <w:numId w:val="15"/>
                          </w:numPr>
                          <w:spacing w:before="120" w:after="120"/>
                          <w:rPr>
                            <w:rFonts w:cs="Arial"/>
                            <w:b/>
                            <w:color w:val="008000"/>
                            <w:sz w:val="20"/>
                            <w:szCs w:val="20"/>
                          </w:rPr>
                        </w:pPr>
                        <w:r>
                          <w:rPr>
                            <w:b/>
                            <w:color w:val="008000"/>
                            <w:sz w:val="20"/>
                          </w:rPr>
                          <w:t>Se o volume sistólico diminuir recomenda-se um aumento das hidratações sistólicas</w:t>
                        </w:r>
                      </w:p>
                      <w:p w14:paraId="5AA2A0E9" w14:textId="77777777" w:rsidR="00C6254B" w:rsidRPr="00C20BBB" w:rsidRDefault="00C6254B" w:rsidP="00D437A6">
                        <w:pPr>
                          <w:numPr>
                            <w:ilvl w:val="0"/>
                            <w:numId w:val="15"/>
                          </w:numPr>
                          <w:spacing w:before="120" w:after="120"/>
                          <w:rPr>
                            <w:rFonts w:cs="Arial"/>
                            <w:b/>
                            <w:sz w:val="20"/>
                            <w:szCs w:val="20"/>
                          </w:rPr>
                        </w:pPr>
                        <w:r>
                          <w:rPr>
                            <w:b/>
                            <w:color w:val="008000"/>
                            <w:sz w:val="20"/>
                          </w:rPr>
                          <w:t>Uma resposta persistente de volume sistólico sugere uma perda contínua de fluido</w:t>
                        </w:r>
                      </w:p>
                      <w:p w14:paraId="2C03FFE9" w14:textId="77777777" w:rsidR="00C6254B" w:rsidRPr="00F304AB" w:rsidRDefault="00C6254B" w:rsidP="00D437A6">
                        <w:pPr>
                          <w:numPr>
                            <w:ilvl w:val="0"/>
                            <w:numId w:val="15"/>
                          </w:numPr>
                          <w:spacing w:before="120" w:after="120"/>
                          <w:rPr>
                            <w:rFonts w:cs="Arial"/>
                            <w:b/>
                            <w:sz w:val="20"/>
                            <w:szCs w:val="20"/>
                          </w:rPr>
                        </w:pPr>
                        <w:r>
                          <w:rPr>
                            <w:b/>
                            <w:color w:val="008000"/>
                            <w:sz w:val="20"/>
                          </w:rPr>
                          <w:t>Não é recomendada uma hidratação venosa vigorosa se a variação do volume sistólico for inferior a 5%</w:t>
                        </w:r>
                      </w:p>
                    </w:txbxContent>
                  </v:textbox>
                </v:roundrect>
                <v:roundrect id="AutoShape 7" o:spid="_x0000_s1032" style="position:absolute;top:56495;width:55219;height:158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1sAA&#10;AADaAAAADwAAAGRycy9kb3ducmV2LnhtbESPwWrDMBBE74H+g9hCbonkFkJwLIdQMLT0lKQfsFhb&#10;S9RaGUuO3b+vAoUch5l5w1THxffiRmN0gTUUWwWCuA3Gcafh69ps9iBiQjbYByYNvxThWD+tKixN&#10;mPlMt0vqRIZwLFGDTWkopYytJY9xGwbi7H2H0WPKcuykGXHOcN/LF6V20qPjvGBxoDdL7c9l8hoW&#10;mz5imFzRTOqk9vazkM1caL1+Xk4HEImW9Aj/t9+Nhle4X8k3Q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L1sAAAADaAAAADwAAAAAAAAAAAAAAAACYAgAAZHJzL2Rvd25y&#10;ZXYueG1sUEsFBgAAAAAEAAQA9QAAAIUDAAAAAA==&#10;" strokecolor="navy" strokeweight="3pt">
                  <v:textbox>
                    <w:txbxContent>
                      <w:p w14:paraId="51C1E237" w14:textId="77777777" w:rsidR="00C6254B" w:rsidRPr="005239E5" w:rsidRDefault="00C6254B" w:rsidP="005239E5">
                        <w:pPr>
                          <w:jc w:val="center"/>
                          <w:rPr>
                            <w:rFonts w:cs="Arial"/>
                            <w:b/>
                            <w:color w:val="000080"/>
                            <w:szCs w:val="22"/>
                          </w:rPr>
                        </w:pPr>
                        <w:r>
                          <w:rPr>
                            <w:b/>
                            <w:color w:val="000080"/>
                          </w:rPr>
                          <w:t>Infusão de inotrópico em dose baixa</w:t>
                        </w:r>
                      </w:p>
                      <w:p w14:paraId="16103C3D" w14:textId="77777777" w:rsidR="00C6254B" w:rsidRPr="005239E5" w:rsidRDefault="00C6254B" w:rsidP="00D437A6">
                        <w:pPr>
                          <w:numPr>
                            <w:ilvl w:val="0"/>
                            <w:numId w:val="16"/>
                          </w:numPr>
                          <w:rPr>
                            <w:b/>
                            <w:color w:val="000080"/>
                            <w:sz w:val="20"/>
                            <w:szCs w:val="20"/>
                          </w:rPr>
                        </w:pPr>
                        <w:r>
                          <w:rPr>
                            <w:b/>
                            <w:color w:val="000080"/>
                            <w:sz w:val="20"/>
                          </w:rPr>
                          <w:t>Iniciar a infusão da dose fixa de dobutamina (2,5 µg/kg/min) ou de dopexamina (0,5 µg/kg/min) após a primeira hidratação venosa vigorosa.</w:t>
                        </w:r>
                      </w:p>
                      <w:p w14:paraId="07E3A4FD" w14:textId="77777777" w:rsidR="00C6254B" w:rsidRPr="005239E5" w:rsidRDefault="00C6254B" w:rsidP="00D437A6">
                        <w:pPr>
                          <w:numPr>
                            <w:ilvl w:val="0"/>
                            <w:numId w:val="16"/>
                          </w:numPr>
                          <w:rPr>
                            <w:b/>
                            <w:color w:val="000080"/>
                            <w:sz w:val="20"/>
                            <w:szCs w:val="20"/>
                          </w:rPr>
                        </w:pPr>
                        <w:r>
                          <w:rPr>
                            <w:b/>
                            <w:color w:val="000080"/>
                            <w:sz w:val="20"/>
                          </w:rPr>
                          <w:t>Reduzir a dose pela metade se a frequência cardíaca aumenta além de 100 bpm durante mais de 30 minutos.</w:t>
                        </w:r>
                      </w:p>
                      <w:p w14:paraId="433D338F" w14:textId="77777777" w:rsidR="00C6254B" w:rsidRPr="005239E5" w:rsidRDefault="00C6254B" w:rsidP="00D437A6">
                        <w:pPr>
                          <w:numPr>
                            <w:ilvl w:val="0"/>
                            <w:numId w:val="16"/>
                          </w:numPr>
                          <w:rPr>
                            <w:b/>
                            <w:color w:val="000080"/>
                            <w:sz w:val="20"/>
                            <w:szCs w:val="20"/>
                          </w:rPr>
                        </w:pPr>
                        <w:r>
                          <w:rPr>
                            <w:b/>
                            <w:color w:val="000080"/>
                            <w:sz w:val="20"/>
                          </w:rPr>
                          <w:t>Suspender a infusão se a taquicardia persistir.</w:t>
                        </w:r>
                      </w:p>
                    </w:txbxContent>
                  </v:textbox>
                </v:roundrect>
                <v:roundrect id="AutoShape 11" o:spid="_x0000_s1033" style="position:absolute;top:72878;width:55219;height:104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9Xr8A&#10;AADaAAAADwAAAGRycy9kb3ducmV2LnhtbESP3YrCMBCF7wXfIYzgnaYVWaUaRd0t7KV/DzA0Yxts&#10;JqWJtr69ERb28nB+Ps5629taPKn1xrGCdJqAIC6cNlwquF7yyRKED8gaa8ek4EUetpvhYI2Zdh2f&#10;6HkOpYgj7DNUUIXQZFL6oiKLfuoa4ujdXGsxRNmWUrfYxXFby1mSfEmLhiOhwoYOFRX388NGyHFv&#10;rukt36XHzi4ey/zwbX5eSo1H/W4FIlAf/sN/7V+tYA6fK/EG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7n1evwAAANoAAAAPAAAAAAAAAAAAAAAAAJgCAABkcnMvZG93bnJl&#10;di54bWxQSwUGAAAAAAQABAD1AAAAhAMAAAAA&#10;" filled="f" strokecolor="#891b52" strokeweight="3pt"/>
                <v:shape id="Text Box 12" o:spid="_x0000_s1034" type="#_x0000_t202" style="position:absolute;left:952;top:73259;width:53435;height:9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mGr0A&#10;AADaAAAADwAAAGRycy9kb3ducmV2LnhtbESPwQrCMBBE74L/EFbwpqmCUqpRRCiIJ61+wNKsbbHZ&#10;1CZq9euNIHgcZuYNs1x3phYPal1lWcFkHIEgzq2uuFBwPqWjGITzyBpry6TgRQ7Wq35viYm2Tz7S&#10;I/OFCBB2CSoovW8SKV1ekkE3tg1x8C62NeiDbAupW3wGuKnlNIrm0mDFYaHEhrYl5dfsbhS41/Zw&#10;0tHtnaU81dd9l8epjJUaDrrNAoSnzv/Dv/ZOK5jB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OumGr0AAADaAAAADwAAAAAAAAAAAAAAAACYAgAAZHJzL2Rvd25yZXYu&#10;eG1sUEsFBgAAAAAEAAQA9QAAAIIDAAAAAA==&#10;" stroked="f">
                  <v:textbox inset=",.8mm,2mm,.8mm">
                    <w:txbxContent>
                      <w:p w14:paraId="4DF2FE5E" w14:textId="77777777" w:rsidR="00C6254B" w:rsidRPr="00E069DC" w:rsidRDefault="00C6254B" w:rsidP="00E069DC">
                        <w:pPr>
                          <w:spacing w:line="288" w:lineRule="auto"/>
                          <w:jc w:val="center"/>
                          <w:rPr>
                            <w:b/>
                            <w:color w:val="891B52"/>
                            <w:sz w:val="20"/>
                            <w:szCs w:val="20"/>
                          </w:rPr>
                        </w:pPr>
                        <w:r w:rsidRPr="00E069DC">
                          <w:rPr>
                            <w:b/>
                            <w:color w:val="891B52"/>
                            <w:sz w:val="20"/>
                            <w:szCs w:val="20"/>
                          </w:rPr>
                          <w:t>O que acontece se for necessário sangue ou fluido intravenoso independentemente do volume sistólico?</w:t>
                        </w:r>
                      </w:p>
                      <w:p w14:paraId="3F1DE39B" w14:textId="623E1A05" w:rsidR="00C6254B" w:rsidRPr="00E069DC" w:rsidRDefault="00C6254B" w:rsidP="00E069DC">
                        <w:pPr>
                          <w:pStyle w:val="ListParagraph"/>
                          <w:numPr>
                            <w:ilvl w:val="0"/>
                            <w:numId w:val="40"/>
                          </w:numPr>
                          <w:spacing w:line="288" w:lineRule="auto"/>
                          <w:ind w:left="357" w:hanging="357"/>
                          <w:rPr>
                            <w:b/>
                            <w:color w:val="891B52"/>
                            <w:sz w:val="20"/>
                            <w:szCs w:val="20"/>
                          </w:rPr>
                        </w:pPr>
                        <w:r w:rsidRPr="00E069DC">
                          <w:rPr>
                            <w:b/>
                            <w:color w:val="891B52"/>
                            <w:sz w:val="20"/>
                            <w:szCs w:val="20"/>
                          </w:rPr>
                          <w:t>Se for necessário administrar hemoderivados ou hidratações venosas vigorosas adicionais, o volume sistólico deverá ser monitorado para identificar qualquer alteração no volume sistólico máximo</w:t>
                        </w:r>
                      </w:p>
                    </w:txbxContent>
                  </v:textbox>
                </v:shape>
                <w10:anchorlock/>
              </v:group>
            </w:pict>
          </mc:Fallback>
        </mc:AlternateContent>
      </w:r>
      <w:r w:rsidR="00FB45F7">
        <w:br w:type="page"/>
      </w:r>
    </w:p>
    <w:p w14:paraId="0A10DF14" w14:textId="77777777" w:rsidR="001535CD" w:rsidRDefault="001535CD" w:rsidP="005239E5">
      <w:pPr>
        <w:pStyle w:val="Heading2"/>
        <w:spacing w:before="0" w:after="0"/>
        <w:contextualSpacing/>
      </w:pPr>
      <w:r>
        <w:t>7.6 Mascaramento e procedimentos para minimizar o viés</w:t>
      </w:r>
    </w:p>
    <w:p w14:paraId="444AA9C1" w14:textId="1C1192F0" w:rsidR="001535CD" w:rsidRDefault="00606126" w:rsidP="005239E5">
      <w:pPr>
        <w:widowControl w:val="0"/>
        <w:autoSpaceDE w:val="0"/>
        <w:autoSpaceDN w:val="0"/>
        <w:adjustRightInd w:val="0"/>
        <w:contextualSpacing/>
        <w:jc w:val="both"/>
        <w:rPr>
          <w:rFonts w:cs="Arial"/>
          <w:szCs w:val="22"/>
        </w:rPr>
      </w:pPr>
      <w:r>
        <w:t xml:space="preserve">O OPTIMISE II é um estudo clínico pragmático de um algoritmo de tratamento. Em estudos clínicos deste tipo não é possível ocultar a designação de tratamento de toda a equipe. Portanto, este </w:t>
      </w:r>
      <w:r w:rsidR="00E43DDD">
        <w:t>estudo</w:t>
      </w:r>
      <w:r w:rsidR="00867BC4">
        <w:t xml:space="preserve"> clínico será aberto e sem </w:t>
      </w:r>
      <w:r>
        <w:t>mascaramento para os pacientes e a equipe realizando a intervenção. Porém, serão estabelecidos procedimentos para minimizar a possibilidade de geração de viés causado pelo fato da equipe de pesquisa conhecer a designação aos grupos de tratamento. As pessoas encarregadas da avaliação dos resultados clínicos (investigadores associados e investigadores principais) não deve</w:t>
      </w:r>
      <w:r w:rsidR="003E162E">
        <w:t>rão</w:t>
      </w:r>
      <w:r>
        <w:t xml:space="preserve"> estar envolvidos na administração de cuidados ao paciente e deve</w:t>
      </w:r>
      <w:r w:rsidR="003E162E">
        <w:t>rão</w:t>
      </w:r>
      <w:r>
        <w:t xml:space="preserve"> desconhecer a designação ao grupo de tratamento. As pessoas </w:t>
      </w:r>
      <w:r w:rsidR="003E162E">
        <w:t>que e</w:t>
      </w:r>
      <w:r w:rsidR="00646FC8">
        <w:t>s</w:t>
      </w:r>
      <w:r w:rsidR="003E162E">
        <w:t xml:space="preserve">tarão </w:t>
      </w:r>
      <w:r>
        <w:t>em contato com o paciente durante o período de seguimento (por ex., no dia 30) também deve</w:t>
      </w:r>
      <w:r w:rsidR="003E162E">
        <w:t>rão</w:t>
      </w:r>
      <w:r>
        <w:t xml:space="preserve"> desconhecer a designação ao grupo de tratamento. O investigador associado realizando o seguimento do paciente fará uma autoavaliação do seu grau de mascaramento após a consulta.</w:t>
      </w:r>
    </w:p>
    <w:p w14:paraId="7F5F2062" w14:textId="77777777" w:rsidR="00A37B8F" w:rsidRDefault="00A37B8F" w:rsidP="005239E5">
      <w:pPr>
        <w:widowControl w:val="0"/>
        <w:autoSpaceDE w:val="0"/>
        <w:autoSpaceDN w:val="0"/>
        <w:adjustRightInd w:val="0"/>
        <w:contextualSpacing/>
        <w:jc w:val="both"/>
        <w:rPr>
          <w:rFonts w:cs="Arial"/>
          <w:szCs w:val="22"/>
        </w:rPr>
      </w:pPr>
    </w:p>
    <w:p w14:paraId="7F6A568B" w14:textId="693EB88F" w:rsidR="00BF252F" w:rsidRPr="007C0F5D" w:rsidRDefault="005E308E" w:rsidP="005239E5">
      <w:pPr>
        <w:widowControl w:val="0"/>
        <w:autoSpaceDE w:val="0"/>
        <w:autoSpaceDN w:val="0"/>
        <w:adjustRightInd w:val="0"/>
        <w:contextualSpacing/>
        <w:jc w:val="both"/>
        <w:rPr>
          <w:rFonts w:cs="Arial"/>
          <w:szCs w:val="22"/>
        </w:rPr>
      </w:pPr>
      <w:r>
        <w:t xml:space="preserve">As designações anteriores não estarão necessariamente mascaradas para a equipe de pesquisa registrando os pacientes, mas o método de randomização utilizado não é previsível, de modo que o risco de viés de seleção é pequeno </w:t>
      </w:r>
      <w:r w:rsidR="00966C85">
        <w:rPr>
          <w:rFonts w:cs="Arial"/>
          <w:szCs w:val="22"/>
        </w:rPr>
        <w:fldChar w:fldCharType="begin"/>
      </w:r>
      <w:r w:rsidR="00553CDA">
        <w:rPr>
          <w:rFonts w:cs="Arial"/>
          <w:szCs w:val="22"/>
        </w:rPr>
        <w:instrText xml:space="preserve"> ADDIN EN.CITE &lt;EndNote&gt;&lt;Cite&gt;&lt;Author&gt;Kahan&lt;/Author&gt;&lt;Year&gt;2015&lt;/Year&gt;&lt;RecNum&gt;353&lt;/RecNum&gt;&lt;DisplayText&gt;(12)&lt;/DisplayText&gt;&lt;record&gt;&lt;rec-number&gt;353&lt;/rec-number&gt;&lt;foreign-keys&gt;&lt;key app="EN" db-id="evs5prtate0zfle9fd6p5v5j595s2pfez5ae" timestamp="1475938573"&gt;353&lt;/key&gt;&lt;/foreign-keys&gt;&lt;ref-type name="Journal Article"&gt;17&lt;/ref-type&gt;&lt;contributors&gt;&lt;authors&gt;&lt;author&gt;Kahan, B. C.&lt;/author&gt;&lt;author&gt;Rehal, S.&lt;/author&gt;&lt;author&gt;Cro, S.&lt;/author&gt;&lt;/authors&gt;&lt;/contributors&gt;&lt;auth-address&gt;Pragmatic Clinical Trials Unit, Queen Mary University of London, E1 2AB, London, UK. b.kahan@qmul.ac.uk.&amp;#xD;MRC Clinical Trials Unit at UCL, WC2B 6NH, London, UK. s.rehal@ucl.ac.uk.&amp;#xD;MRC Clinical Trials Unit at UCL, WC2B 6NH, London, UK. s.cro@ucl.ac.uk.&lt;/auth-address&gt;&lt;titles&gt;&lt;title&gt;Risk of selection bias in randomised trials&lt;/title&gt;&lt;secondary-title&gt;Trials&lt;/secondary-title&gt;&lt;/titles&gt;&lt;periodical&gt;&lt;full-title&gt;Trials&lt;/full-title&gt;&lt;/periodical&gt;&lt;pages&gt;405&lt;/pages&gt;&lt;volume&gt;16&lt;/volume&gt;&lt;keywords&gt;&lt;keyword&gt;Clinical Trials, Phase III as Topic/*methods&lt;/keyword&gt;&lt;keyword&gt;Humans&lt;/keyword&gt;&lt;keyword&gt;*Patient Selection&lt;/keyword&gt;&lt;keyword&gt;Randomized Controlled Trials as Topic/*methods&lt;/keyword&gt;&lt;keyword&gt;Sample Size&lt;/keyword&gt;&lt;keyword&gt;Selection Bias&lt;/keyword&gt;&lt;/keywords&gt;&lt;dates&gt;&lt;year&gt;2015&lt;/year&gt;&lt;/dates&gt;&lt;isbn&gt;1745-6215 (Electronic)&amp;#xD;1745-6215 (Linking)&lt;/isbn&gt;&lt;accession-num&gt;26357929&lt;/accession-num&gt;&lt;urls&gt;&lt;related-urls&gt;&lt;url&gt;https://www.ncbi.nlm.nih.gov/pubmed/26357929&lt;/url&gt;&lt;/related-urls&gt;&lt;/urls&gt;&lt;custom2&gt;PMC4566301&lt;/custom2&gt;&lt;electronic-resource-num&gt;10.1186/s13063-015-0920-x&lt;/electronic-resource-num&gt;&lt;/record&gt;&lt;/Cite&gt;&lt;/EndNote&gt;</w:instrText>
      </w:r>
      <w:r w:rsidR="00966C85">
        <w:rPr>
          <w:rFonts w:cs="Arial"/>
          <w:szCs w:val="22"/>
        </w:rPr>
        <w:fldChar w:fldCharType="separate"/>
      </w:r>
      <w:r w:rsidR="00553CDA">
        <w:rPr>
          <w:rFonts w:cs="Arial"/>
          <w:noProof/>
          <w:szCs w:val="22"/>
        </w:rPr>
        <w:t>(</w:t>
      </w:r>
      <w:hyperlink w:anchor="_ENREF_12" w:tooltip="Kahan, 2015 #353" w:history="1">
        <w:r w:rsidR="00553CDA">
          <w:rPr>
            <w:rFonts w:cs="Arial"/>
            <w:noProof/>
            <w:szCs w:val="22"/>
          </w:rPr>
          <w:t>12</w:t>
        </w:r>
      </w:hyperlink>
      <w:r w:rsidR="00553CDA">
        <w:rPr>
          <w:rFonts w:cs="Arial"/>
          <w:noProof/>
          <w:szCs w:val="22"/>
        </w:rPr>
        <w:t>)</w:t>
      </w:r>
      <w:r w:rsidR="00966C85">
        <w:rPr>
          <w:rFonts w:cs="Arial"/>
          <w:szCs w:val="22"/>
        </w:rPr>
        <w:fldChar w:fldCharType="end"/>
      </w:r>
      <w:r>
        <w:t xml:space="preserve">. O grupo de gerenciamento do </w:t>
      </w:r>
      <w:r w:rsidR="00E43DDD">
        <w:t>estudo</w:t>
      </w:r>
      <w:r>
        <w:t xml:space="preserve"> clínico e o comitê de orientação do </w:t>
      </w:r>
      <w:r w:rsidR="00E43DDD">
        <w:t>estudo</w:t>
      </w:r>
      <w:r>
        <w:t xml:space="preserve"> clínico não verão os resultados discriminados por braço de tratamento durante o </w:t>
      </w:r>
      <w:r w:rsidR="00E43DDD">
        <w:t>estudo</w:t>
      </w:r>
      <w:r>
        <w:t xml:space="preserve"> clínico. As análises finais serão feitas quando todos os dados de seguimento forem coletados, o plano de análise estatística final for finalizado e a limpeza de dados realizada. O comitê independente de monitoramento de dados verá os resultados por grupo de tratamento</w:t>
      </w:r>
      <w:r w:rsidR="00867BC4">
        <w:t>, mas</w:t>
      </w:r>
      <w:r>
        <w:t xml:space="preserve"> os dados serão manuseados por um estatístico independente sem nenhum env</w:t>
      </w:r>
      <w:r w:rsidR="00867BC4">
        <w:t xml:space="preserve">olvimento com o </w:t>
      </w:r>
      <w:r w:rsidR="00E43DDD">
        <w:t>estudo</w:t>
      </w:r>
      <w:r w:rsidR="00867BC4">
        <w:t xml:space="preserve"> clínico.</w:t>
      </w:r>
    </w:p>
    <w:p w14:paraId="2D8717F2" w14:textId="77777777" w:rsidR="001535CD" w:rsidRDefault="001535CD" w:rsidP="005239E5">
      <w:pPr>
        <w:autoSpaceDE w:val="0"/>
        <w:autoSpaceDN w:val="0"/>
        <w:adjustRightInd w:val="0"/>
        <w:contextualSpacing/>
        <w:jc w:val="both"/>
        <w:rPr>
          <w:rFonts w:cs="Arial"/>
          <w:b/>
          <w:i/>
          <w:szCs w:val="22"/>
        </w:rPr>
      </w:pPr>
    </w:p>
    <w:p w14:paraId="4FDDF858" w14:textId="77777777" w:rsidR="001535CD" w:rsidRDefault="001535CD" w:rsidP="005239E5">
      <w:pPr>
        <w:pStyle w:val="Heading2"/>
        <w:spacing w:before="0" w:after="0"/>
        <w:contextualSpacing/>
      </w:pPr>
      <w:r>
        <w:t>7.7 Coleta de dados</w:t>
      </w:r>
    </w:p>
    <w:p w14:paraId="118D1BD1" w14:textId="77777777" w:rsidR="001535CD" w:rsidRDefault="001535CD" w:rsidP="005239E5">
      <w:pPr>
        <w:autoSpaceDE w:val="0"/>
        <w:autoSpaceDN w:val="0"/>
        <w:adjustRightInd w:val="0"/>
        <w:contextualSpacing/>
        <w:rPr>
          <w:rFonts w:cs="Arial"/>
          <w:bCs/>
          <w:color w:val="000000"/>
          <w:szCs w:val="22"/>
        </w:rPr>
      </w:pPr>
      <w:r>
        <w:rPr>
          <w:color w:val="000000"/>
        </w:rPr>
        <w:t>Os seguintes dados serão coletados de todos os pacientes:</w:t>
      </w:r>
    </w:p>
    <w:p w14:paraId="6D70DE37" w14:textId="77777777" w:rsidR="005239E5" w:rsidRDefault="005239E5" w:rsidP="005239E5">
      <w:pPr>
        <w:autoSpaceDE w:val="0"/>
        <w:autoSpaceDN w:val="0"/>
        <w:adjustRightInd w:val="0"/>
        <w:contextualSpacing/>
        <w:rPr>
          <w:rFonts w:cs="Arial"/>
          <w:bCs/>
          <w:color w:val="000000"/>
          <w:szCs w:val="22"/>
        </w:rPr>
      </w:pPr>
    </w:p>
    <w:p w14:paraId="1E09D427" w14:textId="77777777" w:rsidR="001535CD" w:rsidRPr="004D628D" w:rsidRDefault="001535CD" w:rsidP="005239E5">
      <w:pPr>
        <w:pStyle w:val="Heading3"/>
        <w:spacing w:before="0" w:after="0"/>
        <w:contextualSpacing/>
      </w:pPr>
      <w:r>
        <w:t>Dados da randomização</w:t>
      </w:r>
    </w:p>
    <w:p w14:paraId="7A1C8C7E" w14:textId="77777777" w:rsidR="001535CD" w:rsidRPr="001C1CF2" w:rsidRDefault="001535CD" w:rsidP="005239E5">
      <w:pPr>
        <w:pStyle w:val="ListParagraph"/>
        <w:numPr>
          <w:ilvl w:val="0"/>
          <w:numId w:val="3"/>
        </w:numPr>
        <w:autoSpaceDE w:val="0"/>
        <w:autoSpaceDN w:val="0"/>
        <w:adjustRightInd w:val="0"/>
        <w:rPr>
          <w:rFonts w:cs="Arial"/>
          <w:b/>
        </w:rPr>
      </w:pPr>
      <w:r>
        <w:rPr>
          <w:color w:val="000000"/>
        </w:rPr>
        <w:t>Lista de verificação para garantir que o paciente está em conformidade com os critérios de el</w:t>
      </w:r>
      <w:r w:rsidR="00A97197">
        <w:rPr>
          <w:color w:val="000000"/>
        </w:rPr>
        <w:t>e</w:t>
      </w:r>
      <w:r>
        <w:rPr>
          <w:color w:val="000000"/>
        </w:rPr>
        <w:t>gibilidade</w:t>
      </w:r>
    </w:p>
    <w:p w14:paraId="3446C40C" w14:textId="77777777" w:rsidR="001535CD" w:rsidRPr="001C1CF2" w:rsidRDefault="001535CD" w:rsidP="005239E5">
      <w:pPr>
        <w:pStyle w:val="ListParagraph"/>
        <w:numPr>
          <w:ilvl w:val="0"/>
          <w:numId w:val="3"/>
        </w:numPr>
        <w:autoSpaceDE w:val="0"/>
        <w:autoSpaceDN w:val="0"/>
        <w:adjustRightInd w:val="0"/>
        <w:rPr>
          <w:rFonts w:cs="Arial"/>
          <w:b/>
        </w:rPr>
      </w:pPr>
      <w:r>
        <w:rPr>
          <w:color w:val="000000"/>
        </w:rPr>
        <w:t>Categoria do procedimento cirúrgico</w:t>
      </w:r>
    </w:p>
    <w:p w14:paraId="19DBC705" w14:textId="263B28B5" w:rsidR="00AC55D8" w:rsidRPr="00AC55D8" w:rsidRDefault="00AC55D8" w:rsidP="00AC55D8">
      <w:pPr>
        <w:pStyle w:val="ListParagraph"/>
        <w:numPr>
          <w:ilvl w:val="0"/>
          <w:numId w:val="3"/>
        </w:numPr>
        <w:autoSpaceDE w:val="0"/>
        <w:autoSpaceDN w:val="0"/>
        <w:adjustRightInd w:val="0"/>
        <w:rPr>
          <w:rFonts w:cs="Arial"/>
          <w:b/>
        </w:rPr>
      </w:pPr>
      <w:r>
        <w:rPr>
          <w:color w:val="000000"/>
        </w:rPr>
        <w:t xml:space="preserve">Grau </w:t>
      </w:r>
      <w:r w:rsidR="00A97197">
        <w:rPr>
          <w:color w:val="000000"/>
        </w:rPr>
        <w:t xml:space="preserve">da </w:t>
      </w:r>
      <w:r>
        <w:rPr>
          <w:color w:val="000000"/>
        </w:rPr>
        <w:t>ASA</w:t>
      </w:r>
    </w:p>
    <w:p w14:paraId="1F6EC94F" w14:textId="77777777" w:rsidR="00AC55D8" w:rsidRPr="007C0F5D" w:rsidRDefault="00AC55D8" w:rsidP="00AC55D8">
      <w:pPr>
        <w:pStyle w:val="ListParagraph"/>
        <w:numPr>
          <w:ilvl w:val="0"/>
          <w:numId w:val="3"/>
        </w:numPr>
        <w:autoSpaceDE w:val="0"/>
        <w:autoSpaceDN w:val="0"/>
        <w:adjustRightInd w:val="0"/>
        <w:rPr>
          <w:rFonts w:cs="Arial"/>
          <w:b/>
        </w:rPr>
      </w:pPr>
      <w:r>
        <w:rPr>
          <w:color w:val="000000"/>
        </w:rPr>
        <w:t>Nível de cuidados planejados para a primeira noite após a cirurgia (Anexo 1)</w:t>
      </w:r>
    </w:p>
    <w:p w14:paraId="782DA1E7" w14:textId="77777777" w:rsidR="00DA05D3" w:rsidRPr="00DA05D3" w:rsidRDefault="00B47E99" w:rsidP="00DA05D3">
      <w:pPr>
        <w:pStyle w:val="ListParagraph"/>
        <w:numPr>
          <w:ilvl w:val="0"/>
          <w:numId w:val="3"/>
        </w:numPr>
        <w:autoSpaceDE w:val="0"/>
        <w:autoSpaceDN w:val="0"/>
        <w:adjustRightInd w:val="0"/>
        <w:rPr>
          <w:rFonts w:cs="Arial"/>
          <w:b/>
        </w:rPr>
      </w:pPr>
      <w:r>
        <w:t>Identificador do paciente no estudo clínico (gerado automaticamente no momento da randomização)</w:t>
      </w:r>
    </w:p>
    <w:p w14:paraId="09A922B1" w14:textId="77777777" w:rsidR="00A06B07" w:rsidRPr="00A06B07" w:rsidRDefault="00A06B07" w:rsidP="00A06B07">
      <w:pPr>
        <w:pStyle w:val="ListParagraph"/>
        <w:numPr>
          <w:ilvl w:val="0"/>
          <w:numId w:val="3"/>
        </w:numPr>
        <w:autoSpaceDE w:val="0"/>
        <w:autoSpaceDN w:val="0"/>
        <w:adjustRightInd w:val="0"/>
        <w:rPr>
          <w:rFonts w:cs="Arial"/>
          <w:b/>
          <w:szCs w:val="22"/>
        </w:rPr>
      </w:pPr>
      <w:r>
        <w:t>Sexo</w:t>
      </w:r>
    </w:p>
    <w:p w14:paraId="38A498DF" w14:textId="46956AAA" w:rsidR="00A06B07" w:rsidRPr="00A06B07" w:rsidRDefault="00A06B07" w:rsidP="00A06B07">
      <w:pPr>
        <w:pStyle w:val="ListParagraph"/>
        <w:numPr>
          <w:ilvl w:val="0"/>
          <w:numId w:val="3"/>
        </w:numPr>
        <w:autoSpaceDE w:val="0"/>
        <w:autoSpaceDN w:val="0"/>
        <w:adjustRightInd w:val="0"/>
        <w:rPr>
          <w:rFonts w:cs="Arial"/>
          <w:b/>
          <w:szCs w:val="22"/>
        </w:rPr>
      </w:pPr>
      <w:r>
        <w:t>Idade</w:t>
      </w:r>
    </w:p>
    <w:p w14:paraId="1D89822C" w14:textId="77777777" w:rsidR="005239E5" w:rsidRPr="001C1CF2" w:rsidRDefault="005239E5" w:rsidP="005239E5">
      <w:pPr>
        <w:pStyle w:val="ListParagraph"/>
        <w:autoSpaceDE w:val="0"/>
        <w:autoSpaceDN w:val="0"/>
        <w:adjustRightInd w:val="0"/>
        <w:rPr>
          <w:rFonts w:cs="Arial"/>
          <w:szCs w:val="22"/>
        </w:rPr>
      </w:pPr>
    </w:p>
    <w:p w14:paraId="3F539FAF" w14:textId="77777777" w:rsidR="008A50DB" w:rsidRDefault="008A50DB">
      <w:pPr>
        <w:spacing w:line="240" w:lineRule="auto"/>
        <w:rPr>
          <w:i/>
          <w:szCs w:val="20"/>
        </w:rPr>
      </w:pPr>
    </w:p>
    <w:p w14:paraId="0621E447" w14:textId="77777777" w:rsidR="001535CD" w:rsidRDefault="001535CD" w:rsidP="005239E5">
      <w:pPr>
        <w:pStyle w:val="Heading3"/>
        <w:spacing w:before="0" w:after="0"/>
        <w:contextualSpacing/>
      </w:pPr>
      <w:r>
        <w:t>Dados iniciais</w:t>
      </w:r>
    </w:p>
    <w:p w14:paraId="5D3F3A41" w14:textId="77777777" w:rsidR="001535CD" w:rsidRPr="008A714B" w:rsidRDefault="001535CD" w:rsidP="005239E5">
      <w:pPr>
        <w:pStyle w:val="ListParagraph"/>
        <w:numPr>
          <w:ilvl w:val="0"/>
          <w:numId w:val="4"/>
        </w:numPr>
        <w:autoSpaceDE w:val="0"/>
        <w:autoSpaceDN w:val="0"/>
        <w:adjustRightInd w:val="0"/>
        <w:rPr>
          <w:rFonts w:cs="Arial"/>
          <w:b/>
        </w:rPr>
      </w:pPr>
      <w:r>
        <w:rPr>
          <w:color w:val="000000"/>
        </w:rPr>
        <w:t>Diagnóstico de doença pulmonar crônica (DPOC, asma, doença pulmonar intersticial)</w:t>
      </w:r>
    </w:p>
    <w:p w14:paraId="5DAAADDF" w14:textId="77777777" w:rsidR="001535CD" w:rsidRPr="008A714B" w:rsidRDefault="001535CD" w:rsidP="005239E5">
      <w:pPr>
        <w:pStyle w:val="ListParagraph"/>
        <w:numPr>
          <w:ilvl w:val="0"/>
          <w:numId w:val="4"/>
        </w:numPr>
        <w:autoSpaceDE w:val="0"/>
        <w:autoSpaceDN w:val="0"/>
        <w:adjustRightInd w:val="0"/>
        <w:rPr>
          <w:rFonts w:cs="Arial"/>
          <w:b/>
        </w:rPr>
      </w:pPr>
      <w:r>
        <w:rPr>
          <w:color w:val="000000"/>
        </w:rPr>
        <w:t>Diagnóstico de doença isquêmica cardíaca</w:t>
      </w:r>
    </w:p>
    <w:p w14:paraId="77DD312E" w14:textId="77777777" w:rsidR="001535CD" w:rsidRPr="008A714B" w:rsidRDefault="001535CD" w:rsidP="005239E5">
      <w:pPr>
        <w:pStyle w:val="ListParagraph"/>
        <w:numPr>
          <w:ilvl w:val="0"/>
          <w:numId w:val="4"/>
        </w:numPr>
        <w:autoSpaceDE w:val="0"/>
        <w:autoSpaceDN w:val="0"/>
        <w:adjustRightInd w:val="0"/>
        <w:rPr>
          <w:rFonts w:cs="Arial"/>
          <w:b/>
        </w:rPr>
      </w:pPr>
      <w:r>
        <w:rPr>
          <w:color w:val="000000"/>
        </w:rPr>
        <w:t>Diagnóstico de diabetes</w:t>
      </w:r>
      <w:r w:rsidR="00BF1D39">
        <w:rPr>
          <w:color w:val="000000"/>
        </w:rPr>
        <w:t xml:space="preserve"> melito</w:t>
      </w:r>
    </w:p>
    <w:p w14:paraId="7BB4A47F" w14:textId="77777777" w:rsidR="00AC55D8" w:rsidRPr="008A714B" w:rsidRDefault="00AC55D8" w:rsidP="00AC55D8">
      <w:pPr>
        <w:pStyle w:val="ListParagraph"/>
        <w:numPr>
          <w:ilvl w:val="0"/>
          <w:numId w:val="4"/>
        </w:numPr>
        <w:autoSpaceDE w:val="0"/>
        <w:autoSpaceDN w:val="0"/>
        <w:adjustRightInd w:val="0"/>
        <w:rPr>
          <w:rFonts w:cs="Arial"/>
          <w:b/>
        </w:rPr>
      </w:pPr>
      <w:r>
        <w:rPr>
          <w:color w:val="000000"/>
        </w:rPr>
        <w:t>Diagnóstico de insuficiência cardíaca</w:t>
      </w:r>
    </w:p>
    <w:p w14:paraId="5C17A6D4" w14:textId="77777777" w:rsidR="00AC55D8" w:rsidRPr="005A698D" w:rsidRDefault="00AC55D8" w:rsidP="00AC55D8">
      <w:pPr>
        <w:pStyle w:val="ListParagraph"/>
        <w:numPr>
          <w:ilvl w:val="0"/>
          <w:numId w:val="4"/>
        </w:numPr>
        <w:autoSpaceDE w:val="0"/>
        <w:autoSpaceDN w:val="0"/>
        <w:adjustRightInd w:val="0"/>
        <w:rPr>
          <w:b/>
        </w:rPr>
      </w:pPr>
      <w:r>
        <w:rPr>
          <w:color w:val="000000"/>
        </w:rPr>
        <w:t>Diagnóstico de cirrose hepática</w:t>
      </w:r>
    </w:p>
    <w:p w14:paraId="1267F540" w14:textId="77777777" w:rsidR="00AC55D8" w:rsidRPr="0039604D" w:rsidRDefault="00AC55D8" w:rsidP="00AC55D8">
      <w:pPr>
        <w:pStyle w:val="ListParagraph"/>
        <w:numPr>
          <w:ilvl w:val="0"/>
          <w:numId w:val="4"/>
        </w:numPr>
        <w:autoSpaceDE w:val="0"/>
        <w:autoSpaceDN w:val="0"/>
        <w:adjustRightInd w:val="0"/>
        <w:rPr>
          <w:rFonts w:cs="Arial"/>
          <w:b/>
        </w:rPr>
      </w:pPr>
      <w:r>
        <w:rPr>
          <w:color w:val="000000"/>
        </w:rPr>
        <w:t>Diagnóstico de câncer ativo (indicação para cirurgia S/N)</w:t>
      </w:r>
    </w:p>
    <w:p w14:paraId="393850BF" w14:textId="77777777" w:rsidR="001535CD" w:rsidRPr="008A714B" w:rsidRDefault="001535CD" w:rsidP="005239E5">
      <w:pPr>
        <w:pStyle w:val="ListParagraph"/>
        <w:numPr>
          <w:ilvl w:val="0"/>
          <w:numId w:val="4"/>
        </w:numPr>
        <w:autoSpaceDE w:val="0"/>
        <w:autoSpaceDN w:val="0"/>
        <w:adjustRightInd w:val="0"/>
        <w:rPr>
          <w:rFonts w:cs="Arial"/>
          <w:b/>
        </w:rPr>
      </w:pPr>
      <w:r>
        <w:rPr>
          <w:color w:val="000000"/>
        </w:rPr>
        <w:t>Diagnóstico de derrame anterior ou ataque isquêmico transitório</w:t>
      </w:r>
    </w:p>
    <w:p w14:paraId="407E8794" w14:textId="6D29DD76" w:rsidR="00AC55D8" w:rsidRPr="008A714B" w:rsidRDefault="00AC55D8" w:rsidP="00AC55D8">
      <w:pPr>
        <w:pStyle w:val="ListParagraph"/>
        <w:numPr>
          <w:ilvl w:val="0"/>
          <w:numId w:val="4"/>
        </w:numPr>
        <w:autoSpaceDE w:val="0"/>
        <w:autoSpaceDN w:val="0"/>
        <w:adjustRightInd w:val="0"/>
        <w:rPr>
          <w:rFonts w:cs="Arial"/>
          <w:b/>
        </w:rPr>
      </w:pPr>
      <w:r>
        <w:rPr>
          <w:color w:val="000000"/>
        </w:rPr>
        <w:t>Fumante atual (fumou nos últimos 14 dias)</w:t>
      </w:r>
    </w:p>
    <w:p w14:paraId="51240A96" w14:textId="7A21F2AC" w:rsidR="00BA1E38" w:rsidRPr="005A698D" w:rsidRDefault="002D2B99" w:rsidP="00BA1E38">
      <w:pPr>
        <w:pStyle w:val="ListParagraph"/>
        <w:numPr>
          <w:ilvl w:val="0"/>
          <w:numId w:val="4"/>
        </w:numPr>
        <w:autoSpaceDE w:val="0"/>
        <w:autoSpaceDN w:val="0"/>
        <w:adjustRightInd w:val="0"/>
        <w:rPr>
          <w:b/>
        </w:rPr>
      </w:pPr>
      <w:r>
        <w:rPr>
          <w:color w:val="000000"/>
        </w:rPr>
        <w:t>Terapia imunossupressora pré-operatória nos últimos 30 dias antes da cirurgia</w:t>
      </w:r>
    </w:p>
    <w:p w14:paraId="6EB703D1" w14:textId="77777777" w:rsidR="008C57A8" w:rsidRPr="00AC55D8" w:rsidRDefault="008C57A8" w:rsidP="008C57A8">
      <w:pPr>
        <w:pStyle w:val="ListParagraph"/>
        <w:numPr>
          <w:ilvl w:val="0"/>
          <w:numId w:val="4"/>
        </w:numPr>
        <w:autoSpaceDE w:val="0"/>
        <w:autoSpaceDN w:val="0"/>
        <w:adjustRightInd w:val="0"/>
        <w:rPr>
          <w:rFonts w:cs="Arial"/>
          <w:b/>
        </w:rPr>
      </w:pPr>
      <w:r>
        <w:rPr>
          <w:color w:val="000000"/>
        </w:rPr>
        <w:t>Etnicidade (para calcular a taxa de filtração glomerular estimada)</w:t>
      </w:r>
    </w:p>
    <w:p w14:paraId="7E1A5545" w14:textId="77777777" w:rsidR="001535CD" w:rsidRPr="008A714B" w:rsidRDefault="001535CD" w:rsidP="005239E5">
      <w:pPr>
        <w:pStyle w:val="ListParagraph"/>
        <w:numPr>
          <w:ilvl w:val="0"/>
          <w:numId w:val="4"/>
        </w:numPr>
        <w:autoSpaceDE w:val="0"/>
        <w:autoSpaceDN w:val="0"/>
        <w:adjustRightInd w:val="0"/>
        <w:rPr>
          <w:rFonts w:cs="Arial"/>
          <w:b/>
        </w:rPr>
      </w:pPr>
      <w:r>
        <w:rPr>
          <w:color w:val="000000"/>
        </w:rPr>
        <w:t>Hemoglobina pré-operatória</w:t>
      </w:r>
    </w:p>
    <w:p w14:paraId="53462B15" w14:textId="77777777" w:rsidR="001535CD" w:rsidRPr="001C1CF2" w:rsidRDefault="00867BC4" w:rsidP="005239E5">
      <w:pPr>
        <w:pStyle w:val="ListParagraph"/>
        <w:numPr>
          <w:ilvl w:val="0"/>
          <w:numId w:val="4"/>
        </w:numPr>
        <w:autoSpaceDE w:val="0"/>
        <w:autoSpaceDN w:val="0"/>
        <w:adjustRightInd w:val="0"/>
        <w:rPr>
          <w:rFonts w:cs="Arial"/>
          <w:b/>
        </w:rPr>
      </w:pPr>
      <w:r>
        <w:rPr>
          <w:color w:val="000000"/>
        </w:rPr>
        <w:t>Creatin</w:t>
      </w:r>
      <w:r w:rsidR="001535CD">
        <w:rPr>
          <w:color w:val="000000"/>
        </w:rPr>
        <w:t>ina pré-operatória</w:t>
      </w:r>
    </w:p>
    <w:p w14:paraId="45EF9793" w14:textId="77777777" w:rsidR="00CB6F61" w:rsidRPr="007C0F5D" w:rsidRDefault="00CB6F61" w:rsidP="00CB6F61">
      <w:pPr>
        <w:pStyle w:val="ListParagraph"/>
        <w:numPr>
          <w:ilvl w:val="0"/>
          <w:numId w:val="4"/>
        </w:numPr>
        <w:autoSpaceDE w:val="0"/>
        <w:autoSpaceDN w:val="0"/>
        <w:adjustRightInd w:val="0"/>
        <w:rPr>
          <w:rFonts w:cs="Arial"/>
          <w:b/>
        </w:rPr>
      </w:pPr>
      <w:r>
        <w:rPr>
          <w:color w:val="000000"/>
        </w:rPr>
        <w:t>Altura</w:t>
      </w:r>
    </w:p>
    <w:p w14:paraId="1396BF2B" w14:textId="77777777" w:rsidR="00CB6F61" w:rsidRPr="007C0F5D" w:rsidRDefault="00CB6F61" w:rsidP="00CB6F61">
      <w:pPr>
        <w:pStyle w:val="ListParagraph"/>
        <w:numPr>
          <w:ilvl w:val="0"/>
          <w:numId w:val="4"/>
        </w:numPr>
        <w:autoSpaceDE w:val="0"/>
        <w:autoSpaceDN w:val="0"/>
        <w:adjustRightInd w:val="0"/>
        <w:rPr>
          <w:rFonts w:cs="Arial"/>
          <w:b/>
        </w:rPr>
      </w:pPr>
      <w:r>
        <w:rPr>
          <w:color w:val="000000"/>
        </w:rPr>
        <w:t>Peso</w:t>
      </w:r>
    </w:p>
    <w:p w14:paraId="19308327" w14:textId="77777777" w:rsidR="00A32FEC" w:rsidRPr="007C0F5D" w:rsidRDefault="00A32FEC" w:rsidP="00A32FEC">
      <w:pPr>
        <w:pStyle w:val="ListParagraph"/>
        <w:numPr>
          <w:ilvl w:val="0"/>
          <w:numId w:val="4"/>
        </w:numPr>
        <w:autoSpaceDE w:val="0"/>
        <w:autoSpaceDN w:val="0"/>
        <w:adjustRightInd w:val="0"/>
        <w:rPr>
          <w:rFonts w:cs="Arial"/>
          <w:b/>
        </w:rPr>
      </w:pPr>
      <w:r>
        <w:rPr>
          <w:color w:val="000000"/>
        </w:rPr>
        <w:t>Número no NHS, data de nascimento e nome completo para vinculação no registro (somente no Reino Unido)</w:t>
      </w:r>
    </w:p>
    <w:p w14:paraId="75244149" w14:textId="77777777" w:rsidR="00A32FEC" w:rsidRPr="00505EA9" w:rsidRDefault="00A32FEC" w:rsidP="00A32FEC">
      <w:pPr>
        <w:pStyle w:val="ListParagraph"/>
        <w:numPr>
          <w:ilvl w:val="0"/>
          <w:numId w:val="4"/>
        </w:numPr>
        <w:autoSpaceDE w:val="0"/>
        <w:autoSpaceDN w:val="0"/>
        <w:adjustRightInd w:val="0"/>
        <w:ind w:right="-58"/>
        <w:rPr>
          <w:rFonts w:cs="Arial"/>
          <w:b/>
        </w:rPr>
      </w:pPr>
      <w:r>
        <w:rPr>
          <w:color w:val="000000"/>
        </w:rPr>
        <w:t>Código postal residencial para vinculação no registro (somente no Reino Unido)</w:t>
      </w:r>
    </w:p>
    <w:p w14:paraId="0AE990B9" w14:textId="77777777" w:rsidR="001535CD" w:rsidRPr="001C1CF2" w:rsidRDefault="001535CD" w:rsidP="005239E5">
      <w:pPr>
        <w:pStyle w:val="ListParagraph"/>
        <w:numPr>
          <w:ilvl w:val="0"/>
          <w:numId w:val="4"/>
        </w:numPr>
        <w:autoSpaceDE w:val="0"/>
        <w:autoSpaceDN w:val="0"/>
        <w:adjustRightInd w:val="0"/>
        <w:rPr>
          <w:rFonts w:cs="Arial"/>
          <w:b/>
        </w:rPr>
      </w:pPr>
      <w:r>
        <w:rPr>
          <w:color w:val="000000"/>
        </w:rPr>
        <w:t>Qualidade de vida segundo o EQ-5D-3L (somente no Reino Unido)</w:t>
      </w:r>
    </w:p>
    <w:p w14:paraId="3D61BEC8" w14:textId="77777777" w:rsidR="00606126" w:rsidRPr="00606126" w:rsidRDefault="00606126" w:rsidP="005239E5">
      <w:pPr>
        <w:autoSpaceDE w:val="0"/>
        <w:autoSpaceDN w:val="0"/>
        <w:adjustRightInd w:val="0"/>
        <w:ind w:left="360" w:right="-58"/>
        <w:contextualSpacing/>
        <w:rPr>
          <w:rFonts w:cs="Arial"/>
          <w:i/>
        </w:rPr>
      </w:pPr>
    </w:p>
    <w:p w14:paraId="69E0D39F" w14:textId="77777777" w:rsidR="00606126" w:rsidRPr="00606126" w:rsidRDefault="005239E5" w:rsidP="005239E5">
      <w:pPr>
        <w:contextualSpacing/>
        <w:outlineLvl w:val="1"/>
        <w:rPr>
          <w:i/>
        </w:rPr>
      </w:pPr>
      <w:r>
        <w:rPr>
          <w:i/>
        </w:rPr>
        <w:t xml:space="preserve">Dados coletados durante o período de intervenção do </w:t>
      </w:r>
      <w:r w:rsidR="00E43DDD">
        <w:rPr>
          <w:i/>
        </w:rPr>
        <w:t>estudo</w:t>
      </w:r>
      <w:r>
        <w:rPr>
          <w:i/>
        </w:rPr>
        <w:t xml:space="preserve"> clínico</w:t>
      </w:r>
    </w:p>
    <w:p w14:paraId="71237A36" w14:textId="77777777" w:rsidR="00606126" w:rsidRPr="00647D4C" w:rsidRDefault="00606126" w:rsidP="008A50DB">
      <w:pPr>
        <w:ind w:firstLine="360"/>
        <w:contextualSpacing/>
        <w:jc w:val="both"/>
        <w:rPr>
          <w:b/>
        </w:rPr>
      </w:pPr>
      <w:r>
        <w:rPr>
          <w:b/>
        </w:rPr>
        <w:t>Cirurgia e anestesia</w:t>
      </w:r>
    </w:p>
    <w:p w14:paraId="791468B1" w14:textId="0367A59A" w:rsidR="00B912CC" w:rsidRDefault="00606126" w:rsidP="00D437A6">
      <w:pPr>
        <w:numPr>
          <w:ilvl w:val="0"/>
          <w:numId w:val="19"/>
        </w:numPr>
        <w:contextualSpacing/>
        <w:jc w:val="both"/>
      </w:pPr>
      <w:r>
        <w:t>Horários de início e fim da anestesia</w:t>
      </w:r>
    </w:p>
    <w:p w14:paraId="1F0150E7" w14:textId="77777777" w:rsidR="00B912CC" w:rsidRDefault="00606126" w:rsidP="00D437A6">
      <w:pPr>
        <w:numPr>
          <w:ilvl w:val="0"/>
          <w:numId w:val="19"/>
        </w:numPr>
        <w:contextualSpacing/>
        <w:jc w:val="both"/>
      </w:pPr>
      <w:r>
        <w:t>Procedimento cirúrgico realizado</w:t>
      </w:r>
    </w:p>
    <w:p w14:paraId="1089787A" w14:textId="77777777" w:rsidR="00B912CC" w:rsidRDefault="00606126" w:rsidP="00D437A6">
      <w:pPr>
        <w:numPr>
          <w:ilvl w:val="0"/>
          <w:numId w:val="19"/>
        </w:numPr>
        <w:contextualSpacing/>
        <w:jc w:val="both"/>
      </w:pPr>
      <w:r>
        <w:t>Procedimento aberto ou laparoscopia</w:t>
      </w:r>
    </w:p>
    <w:p w14:paraId="04DF8989" w14:textId="77777777" w:rsidR="00B912CC" w:rsidRDefault="00606126" w:rsidP="00D437A6">
      <w:pPr>
        <w:numPr>
          <w:ilvl w:val="0"/>
          <w:numId w:val="19"/>
        </w:numPr>
        <w:contextualSpacing/>
        <w:jc w:val="both"/>
      </w:pPr>
      <w:r>
        <w:t>Técnica anestésica</w:t>
      </w:r>
    </w:p>
    <w:p w14:paraId="0EABFC81" w14:textId="3A48B4D3" w:rsidR="00B912CC" w:rsidRDefault="00606126" w:rsidP="00D437A6">
      <w:pPr>
        <w:numPr>
          <w:ilvl w:val="0"/>
          <w:numId w:val="19"/>
        </w:numPr>
        <w:contextualSpacing/>
        <w:jc w:val="both"/>
      </w:pPr>
      <w:r>
        <w:t>Tubo endotraqueal removido no final da cirurgia</w:t>
      </w:r>
    </w:p>
    <w:p w14:paraId="77028906" w14:textId="77777777" w:rsidR="00B912CC" w:rsidRDefault="00606126" w:rsidP="00D437A6">
      <w:pPr>
        <w:numPr>
          <w:ilvl w:val="0"/>
          <w:numId w:val="19"/>
        </w:numPr>
        <w:contextualSpacing/>
        <w:jc w:val="both"/>
      </w:pPr>
      <w:r>
        <w:t>Uso de monitor de débito cardíaco</w:t>
      </w:r>
    </w:p>
    <w:p w14:paraId="374F92CE" w14:textId="77777777" w:rsidR="00B912CC" w:rsidRDefault="00606126" w:rsidP="00D437A6">
      <w:pPr>
        <w:numPr>
          <w:ilvl w:val="0"/>
          <w:numId w:val="19"/>
        </w:numPr>
        <w:contextualSpacing/>
        <w:jc w:val="both"/>
      </w:pPr>
      <w:r>
        <w:t>Horas passadas na unidade de tratamento pós-anestésica (sala de recuperação)</w:t>
      </w:r>
    </w:p>
    <w:p w14:paraId="02BFCAC5" w14:textId="77777777" w:rsidR="00B912CC" w:rsidRDefault="00606126" w:rsidP="00D437A6">
      <w:pPr>
        <w:numPr>
          <w:ilvl w:val="0"/>
          <w:numId w:val="19"/>
        </w:numPr>
        <w:contextualSpacing/>
        <w:jc w:val="both"/>
      </w:pPr>
      <w:r>
        <w:t>Nível real dos cuidados planejados na primeira noite após a cirurgia</w:t>
      </w:r>
    </w:p>
    <w:p w14:paraId="12D2AA8E" w14:textId="77777777" w:rsidR="00606126" w:rsidRDefault="00606126" w:rsidP="005239E5">
      <w:pPr>
        <w:ind w:left="1080" w:hanging="229"/>
        <w:contextualSpacing/>
      </w:pPr>
    </w:p>
    <w:p w14:paraId="36E5CBE7" w14:textId="124DDF1E" w:rsidR="00606126" w:rsidRDefault="00606126" w:rsidP="008A50DB">
      <w:pPr>
        <w:ind w:firstLine="360"/>
        <w:contextualSpacing/>
        <w:jc w:val="both"/>
      </w:pPr>
      <w:r>
        <w:rPr>
          <w:b/>
        </w:rPr>
        <w:t>Fluidos</w:t>
      </w:r>
    </w:p>
    <w:p w14:paraId="28CC1DE2" w14:textId="77777777" w:rsidR="00B912CC" w:rsidRDefault="00606126" w:rsidP="00D437A6">
      <w:pPr>
        <w:pStyle w:val="ListParagraph"/>
        <w:numPr>
          <w:ilvl w:val="0"/>
          <w:numId w:val="20"/>
        </w:numPr>
        <w:jc w:val="both"/>
      </w:pPr>
      <w:r>
        <w:t>Volume e tipo de solução coloide intravenosa durante a cirurgia</w:t>
      </w:r>
    </w:p>
    <w:p w14:paraId="39A32D16" w14:textId="77777777" w:rsidR="00B912CC" w:rsidRDefault="00606126" w:rsidP="00D437A6">
      <w:pPr>
        <w:pStyle w:val="ListParagraph"/>
        <w:numPr>
          <w:ilvl w:val="0"/>
          <w:numId w:val="20"/>
        </w:numPr>
        <w:jc w:val="both"/>
      </w:pPr>
      <w:r>
        <w:t>Volume e tipo de solução coloide intravenosa durante 4 horas após a cirurgia</w:t>
      </w:r>
    </w:p>
    <w:p w14:paraId="4405717E" w14:textId="77777777" w:rsidR="00B912CC" w:rsidRDefault="00606126" w:rsidP="00D437A6">
      <w:pPr>
        <w:pStyle w:val="ListParagraph"/>
        <w:numPr>
          <w:ilvl w:val="0"/>
          <w:numId w:val="20"/>
        </w:numPr>
        <w:jc w:val="both"/>
      </w:pPr>
      <w:r>
        <w:t>Volume e tipo de solução cristaloide intravenosa durante a cirurgia</w:t>
      </w:r>
    </w:p>
    <w:p w14:paraId="1FDFDA13" w14:textId="77777777" w:rsidR="00B912CC" w:rsidRDefault="00C96188" w:rsidP="00D437A6">
      <w:pPr>
        <w:pStyle w:val="ListParagraph"/>
        <w:numPr>
          <w:ilvl w:val="0"/>
          <w:numId w:val="20"/>
        </w:numPr>
        <w:jc w:val="both"/>
      </w:pPr>
      <w:r>
        <w:t>Volume e tipo de solução cristaloide intravenosa durante 4 horas após a cirurgia</w:t>
      </w:r>
    </w:p>
    <w:p w14:paraId="69BDC292" w14:textId="77777777" w:rsidR="00B912CC" w:rsidRDefault="00606126" w:rsidP="00D437A6">
      <w:pPr>
        <w:pStyle w:val="ListParagraph"/>
        <w:numPr>
          <w:ilvl w:val="0"/>
          <w:numId w:val="20"/>
        </w:numPr>
        <w:jc w:val="both"/>
      </w:pPr>
      <w:r>
        <w:t>Volume de concentrado de hemácias e hemoderivados durante a cirurgia</w:t>
      </w:r>
    </w:p>
    <w:p w14:paraId="2FDE59AB" w14:textId="50753AEB" w:rsidR="00606126" w:rsidRDefault="00606126" w:rsidP="008A50DB">
      <w:pPr>
        <w:ind w:firstLine="360"/>
        <w:contextualSpacing/>
        <w:jc w:val="both"/>
      </w:pPr>
      <w:r>
        <w:rPr>
          <w:b/>
        </w:rPr>
        <w:t>Medicamentos</w:t>
      </w:r>
    </w:p>
    <w:p w14:paraId="0022CDEA" w14:textId="3C622BFA" w:rsidR="00B912CC" w:rsidRDefault="00606126" w:rsidP="00D437A6">
      <w:pPr>
        <w:numPr>
          <w:ilvl w:val="0"/>
          <w:numId w:val="21"/>
        </w:numPr>
        <w:contextualSpacing/>
        <w:jc w:val="both"/>
      </w:pPr>
      <w:r>
        <w:t>Uso e tipo de inotrópico (incluindo data/hora de início e data/hora final)</w:t>
      </w:r>
    </w:p>
    <w:p w14:paraId="524246D9" w14:textId="77777777" w:rsidR="00B912CC" w:rsidRDefault="00606126" w:rsidP="00D437A6">
      <w:pPr>
        <w:numPr>
          <w:ilvl w:val="0"/>
          <w:numId w:val="21"/>
        </w:numPr>
        <w:contextualSpacing/>
        <w:jc w:val="both"/>
      </w:pPr>
      <w:r>
        <w:t>Taxa do inotrópico, local da infusão</w:t>
      </w:r>
    </w:p>
    <w:p w14:paraId="53A4DF8E" w14:textId="77777777" w:rsidR="00B912CC" w:rsidRDefault="00606126" w:rsidP="00D437A6">
      <w:pPr>
        <w:numPr>
          <w:ilvl w:val="0"/>
          <w:numId w:val="21"/>
        </w:numPr>
        <w:contextualSpacing/>
        <w:jc w:val="both"/>
      </w:pPr>
      <w:r>
        <w:t>Outros medicamentos</w:t>
      </w:r>
    </w:p>
    <w:p w14:paraId="772121F3" w14:textId="77777777" w:rsidR="00606126" w:rsidRDefault="00160BFC" w:rsidP="005239E5">
      <w:pPr>
        <w:contextualSpacing/>
        <w:jc w:val="both"/>
      </w:pPr>
      <w:r>
        <w:t xml:space="preserve"> </w:t>
      </w:r>
    </w:p>
    <w:p w14:paraId="4D205F89" w14:textId="77777777" w:rsidR="00606126" w:rsidRPr="00FA67DD" w:rsidRDefault="00606126" w:rsidP="008A50DB">
      <w:pPr>
        <w:ind w:firstLine="360"/>
        <w:contextualSpacing/>
        <w:jc w:val="both"/>
      </w:pPr>
      <w:r>
        <w:rPr>
          <w:b/>
        </w:rPr>
        <w:t>Equipe de pesquisa</w:t>
      </w:r>
    </w:p>
    <w:p w14:paraId="6DFDF923" w14:textId="1D3DF129" w:rsidR="00B912CC" w:rsidRDefault="00606126" w:rsidP="00D437A6">
      <w:pPr>
        <w:numPr>
          <w:ilvl w:val="0"/>
          <w:numId w:val="22"/>
        </w:numPr>
        <w:contextualSpacing/>
        <w:jc w:val="both"/>
      </w:pPr>
      <w:r>
        <w:t>Equipe adicional presente para a intervenção durante a cirurgia</w:t>
      </w:r>
    </w:p>
    <w:p w14:paraId="434BA2E9" w14:textId="6C59757A" w:rsidR="00B912CC" w:rsidRDefault="00606126" w:rsidP="00D437A6">
      <w:pPr>
        <w:numPr>
          <w:ilvl w:val="0"/>
          <w:numId w:val="22"/>
        </w:numPr>
        <w:contextualSpacing/>
        <w:jc w:val="both"/>
      </w:pPr>
      <w:r>
        <w:t>Equipe adicional presente para a intervenção durante 4 horas após a cirurgia</w:t>
      </w:r>
    </w:p>
    <w:p w14:paraId="47B58D66" w14:textId="77777777" w:rsidR="005239E5" w:rsidRDefault="005239E5">
      <w:pPr>
        <w:spacing w:line="240" w:lineRule="auto"/>
        <w:rPr>
          <w:i/>
        </w:rPr>
      </w:pPr>
    </w:p>
    <w:p w14:paraId="1AFE6A35" w14:textId="3EFCC361" w:rsidR="00606126" w:rsidRPr="00320833" w:rsidRDefault="00E71439" w:rsidP="005239E5">
      <w:pPr>
        <w:contextualSpacing/>
        <w:outlineLvl w:val="1"/>
        <w:rPr>
          <w:i/>
        </w:rPr>
      </w:pPr>
      <w:r>
        <w:rPr>
          <w:i/>
        </w:rPr>
        <w:t>Dados de seguimento</w:t>
      </w:r>
    </w:p>
    <w:p w14:paraId="2D3D392A" w14:textId="01E03609" w:rsidR="00606126" w:rsidRPr="00716614" w:rsidRDefault="00606126" w:rsidP="00D437A6">
      <w:pPr>
        <w:numPr>
          <w:ilvl w:val="0"/>
          <w:numId w:val="10"/>
        </w:numPr>
        <w:autoSpaceDN w:val="0"/>
        <w:contextualSpacing/>
        <w:jc w:val="both"/>
        <w:rPr>
          <w:rFonts w:cs="Arial"/>
          <w:szCs w:val="22"/>
        </w:rPr>
      </w:pPr>
      <w:r>
        <w:t xml:space="preserve">Infeção pós-operatória </w:t>
      </w:r>
      <w:r w:rsidR="0049669F">
        <w:t xml:space="preserve">no </w:t>
      </w:r>
      <w:r>
        <w:t>dia 30 (≥Clavien-Dindo - grau II: consulte o Anexo</w:t>
      </w:r>
      <w:r w:rsidR="005B054C">
        <w:t> </w:t>
      </w:r>
      <w:r>
        <w:t>1)</w:t>
      </w:r>
    </w:p>
    <w:p w14:paraId="20C6C5CB" w14:textId="4FD4947C" w:rsidR="00716614" w:rsidRDefault="00606126" w:rsidP="00D437A6">
      <w:pPr>
        <w:numPr>
          <w:ilvl w:val="0"/>
          <w:numId w:val="10"/>
        </w:numPr>
        <w:autoSpaceDN w:val="0"/>
        <w:contextualSpacing/>
        <w:jc w:val="both"/>
        <w:rPr>
          <w:rFonts w:cs="Arial"/>
          <w:szCs w:val="22"/>
        </w:rPr>
      </w:pPr>
      <w:r>
        <w:t xml:space="preserve">Eventos cardíacos adversos </w:t>
      </w:r>
      <w:r w:rsidR="008F5879">
        <w:t xml:space="preserve">com </w:t>
      </w:r>
      <w:r>
        <w:t xml:space="preserve">24 horas e </w:t>
      </w:r>
      <w:r w:rsidR="005F50C0">
        <w:t xml:space="preserve">no </w:t>
      </w:r>
      <w:r>
        <w:t xml:space="preserve">dia 30 (≥Clavien-Dindo </w:t>
      </w:r>
      <w:r w:rsidR="005B054C">
        <w:t>–</w:t>
      </w:r>
      <w:r>
        <w:t xml:space="preserve"> grau</w:t>
      </w:r>
      <w:r w:rsidR="005B054C">
        <w:t> </w:t>
      </w:r>
      <w:r>
        <w:t>II)</w:t>
      </w:r>
    </w:p>
    <w:p w14:paraId="049EC5CE" w14:textId="29512A0C" w:rsidR="00716614" w:rsidRDefault="00606126" w:rsidP="00D437A6">
      <w:pPr>
        <w:numPr>
          <w:ilvl w:val="0"/>
          <w:numId w:val="12"/>
        </w:numPr>
        <w:contextualSpacing/>
        <w:jc w:val="both"/>
      </w:pPr>
      <w:r>
        <w:t xml:space="preserve">Lesão renal aguda </w:t>
      </w:r>
      <w:r w:rsidR="005F50C0">
        <w:t xml:space="preserve">no </w:t>
      </w:r>
      <w:r>
        <w:t>dia 30 (≥Clavien-Dindo - grau II)</w:t>
      </w:r>
    </w:p>
    <w:p w14:paraId="5A172722" w14:textId="29C6CF66" w:rsidR="00716614" w:rsidRDefault="00606126" w:rsidP="00D437A6">
      <w:pPr>
        <w:numPr>
          <w:ilvl w:val="0"/>
          <w:numId w:val="12"/>
        </w:numPr>
        <w:contextualSpacing/>
        <w:jc w:val="both"/>
      </w:pPr>
      <w:r>
        <w:t xml:space="preserve">Outras complicações pós-operatórias </w:t>
      </w:r>
      <w:r w:rsidR="005F50C0">
        <w:t xml:space="preserve">no </w:t>
      </w:r>
      <w:r>
        <w:t>dia 30 (≥Clavien-Dindo - grau II)</w:t>
      </w:r>
    </w:p>
    <w:p w14:paraId="45451F24" w14:textId="77777777" w:rsidR="00606126" w:rsidRDefault="00974AA6" w:rsidP="00D437A6">
      <w:pPr>
        <w:numPr>
          <w:ilvl w:val="0"/>
          <w:numId w:val="12"/>
        </w:numPr>
        <w:contextualSpacing/>
        <w:jc w:val="both"/>
      </w:pPr>
      <w:r>
        <w:t>Transfusão de hemácias dentro de 30 dias após a randomização</w:t>
      </w:r>
    </w:p>
    <w:p w14:paraId="07C86F1D" w14:textId="77777777" w:rsidR="00974AA6" w:rsidRDefault="00974AA6" w:rsidP="00D437A6">
      <w:pPr>
        <w:numPr>
          <w:ilvl w:val="0"/>
          <w:numId w:val="12"/>
        </w:numPr>
        <w:contextualSpacing/>
        <w:jc w:val="both"/>
      </w:pPr>
      <w:r>
        <w:t>Nutrição parenteral dentro de 30 dias após a randomização</w:t>
      </w:r>
    </w:p>
    <w:p w14:paraId="2F5B6681" w14:textId="77777777" w:rsidR="00974AA6" w:rsidRDefault="00974AA6" w:rsidP="00D437A6">
      <w:pPr>
        <w:numPr>
          <w:ilvl w:val="0"/>
          <w:numId w:val="12"/>
        </w:numPr>
        <w:contextualSpacing/>
        <w:jc w:val="both"/>
      </w:pPr>
      <w:r>
        <w:t>Intervenção endoscópica ou radiológica dentro de 30 dias após a randomização</w:t>
      </w:r>
    </w:p>
    <w:p w14:paraId="60783AD4" w14:textId="77777777" w:rsidR="00974AA6" w:rsidRDefault="00974AA6" w:rsidP="00D437A6">
      <w:pPr>
        <w:numPr>
          <w:ilvl w:val="0"/>
          <w:numId w:val="12"/>
        </w:numPr>
        <w:contextualSpacing/>
        <w:jc w:val="both"/>
      </w:pPr>
      <w:r>
        <w:t>Nova cirurgia dentro de 30 dias após a randomização (com indicação)</w:t>
      </w:r>
    </w:p>
    <w:p w14:paraId="7F75BA4B" w14:textId="77777777" w:rsidR="00974AA6" w:rsidRDefault="00974AA6" w:rsidP="00D437A6">
      <w:pPr>
        <w:numPr>
          <w:ilvl w:val="0"/>
          <w:numId w:val="12"/>
        </w:numPr>
        <w:contextualSpacing/>
        <w:jc w:val="both"/>
      </w:pPr>
      <w:r>
        <w:t>Ingresso não planejado na unidade de tratamento intensivo para o tratamento de complicações dentro de 30 dias após a randomização</w:t>
      </w:r>
    </w:p>
    <w:p w14:paraId="6278C2EF" w14:textId="77777777" w:rsidR="00974AA6" w:rsidRDefault="00974AA6" w:rsidP="00D437A6">
      <w:pPr>
        <w:numPr>
          <w:ilvl w:val="0"/>
          <w:numId w:val="12"/>
        </w:numPr>
        <w:contextualSpacing/>
        <w:jc w:val="both"/>
      </w:pPr>
      <w:r>
        <w:t xml:space="preserve">Ingresso planejado na unidade de tratamento intensivo </w:t>
      </w:r>
      <w:r w:rsidR="00CC1389">
        <w:t xml:space="preserve">prolongado devido </w:t>
      </w:r>
      <w:r w:rsidR="00B5327E">
        <w:t>ao</w:t>
      </w:r>
      <w:r>
        <w:t xml:space="preserve"> tratamento de complicações dentro de 30 dias após a randomização</w:t>
      </w:r>
    </w:p>
    <w:p w14:paraId="4DDB360C" w14:textId="77777777" w:rsidR="00974AA6" w:rsidRDefault="00974AA6" w:rsidP="00D437A6">
      <w:pPr>
        <w:numPr>
          <w:ilvl w:val="0"/>
          <w:numId w:val="12"/>
        </w:numPr>
        <w:contextualSpacing/>
        <w:jc w:val="both"/>
      </w:pPr>
      <w:r>
        <w:t xml:space="preserve">Ventilação mecânica invasiva após sair da sala de </w:t>
      </w:r>
      <w:r w:rsidR="00082D6E">
        <w:t>cirurgia</w:t>
      </w:r>
      <w:r>
        <w:t>, dentro de 30 dias após a randomização</w:t>
      </w:r>
    </w:p>
    <w:p w14:paraId="6DB5416C" w14:textId="4B0F4901" w:rsidR="00606126" w:rsidRDefault="002B7E49" w:rsidP="00D437A6">
      <w:pPr>
        <w:numPr>
          <w:ilvl w:val="0"/>
          <w:numId w:val="12"/>
        </w:numPr>
        <w:contextualSpacing/>
        <w:jc w:val="both"/>
      </w:pPr>
      <w:r>
        <w:t>Data do óbito (quando aplicável)</w:t>
      </w:r>
    </w:p>
    <w:p w14:paraId="5D9BCEFC" w14:textId="77777777" w:rsidR="00606126" w:rsidRDefault="00606126" w:rsidP="00D437A6">
      <w:pPr>
        <w:numPr>
          <w:ilvl w:val="0"/>
          <w:numId w:val="12"/>
        </w:numPr>
        <w:contextualSpacing/>
        <w:jc w:val="both"/>
      </w:pPr>
      <w:r>
        <w:t>Duração da internação hospitalar</w:t>
      </w:r>
    </w:p>
    <w:p w14:paraId="3D60720A" w14:textId="77777777" w:rsidR="00974AA6" w:rsidRDefault="00974AA6" w:rsidP="00D437A6">
      <w:pPr>
        <w:numPr>
          <w:ilvl w:val="0"/>
          <w:numId w:val="12"/>
        </w:numPr>
        <w:contextualSpacing/>
        <w:jc w:val="both"/>
      </w:pPr>
      <w:r>
        <w:t>Número de dias de cuidados intensivos de nível 2 e nível 3</w:t>
      </w:r>
      <w:r w:rsidR="00B5327E">
        <w:t>,</w:t>
      </w:r>
      <w:r>
        <w:t xml:space="preserve"> dentro de 30 dias após a randomização</w:t>
      </w:r>
    </w:p>
    <w:p w14:paraId="3803B0F7" w14:textId="24709A1C" w:rsidR="001B142C" w:rsidRDefault="001B142C" w:rsidP="00D437A6">
      <w:pPr>
        <w:numPr>
          <w:ilvl w:val="0"/>
          <w:numId w:val="12"/>
        </w:numPr>
        <w:contextualSpacing/>
        <w:jc w:val="both"/>
      </w:pPr>
      <w:r>
        <w:t>Qualidade de vida segundo a escala do estado de saúde EQ-5D-3L (30 dias)</w:t>
      </w:r>
    </w:p>
    <w:p w14:paraId="00A8CA94" w14:textId="190DEE33" w:rsidR="00606126" w:rsidRDefault="00606126" w:rsidP="00D437A6">
      <w:pPr>
        <w:numPr>
          <w:ilvl w:val="0"/>
          <w:numId w:val="12"/>
        </w:numPr>
        <w:contextualSpacing/>
        <w:jc w:val="both"/>
      </w:pPr>
      <w:r>
        <w:t>Qualidade de vida segundo a escala do estado de saúde EQ-5D-3L (180</w:t>
      </w:r>
      <w:r w:rsidR="005B054C">
        <w:t> </w:t>
      </w:r>
      <w:r>
        <w:t>dias)</w:t>
      </w:r>
    </w:p>
    <w:p w14:paraId="667030E2" w14:textId="77777777" w:rsidR="001535CD" w:rsidRDefault="001535CD" w:rsidP="005239E5">
      <w:pPr>
        <w:autoSpaceDE w:val="0"/>
        <w:autoSpaceDN w:val="0"/>
        <w:adjustRightInd w:val="0"/>
        <w:contextualSpacing/>
        <w:rPr>
          <w:rFonts w:cs="Arial"/>
          <w:szCs w:val="22"/>
        </w:rPr>
      </w:pPr>
    </w:p>
    <w:p w14:paraId="791032E1" w14:textId="77777777" w:rsidR="001535CD" w:rsidRPr="0039604D" w:rsidRDefault="001535CD" w:rsidP="005239E5">
      <w:pPr>
        <w:pStyle w:val="Heading2"/>
        <w:spacing w:before="0" w:after="0"/>
        <w:contextualSpacing/>
      </w:pPr>
      <w:r>
        <w:t>7.8 Desvios ao protocolo predefinidos</w:t>
      </w:r>
    </w:p>
    <w:p w14:paraId="7D7CD2CD" w14:textId="77777777" w:rsidR="00AB64DE" w:rsidRPr="00211D10" w:rsidRDefault="00AB64DE" w:rsidP="0039059B">
      <w:pPr>
        <w:numPr>
          <w:ilvl w:val="0"/>
          <w:numId w:val="13"/>
        </w:numPr>
        <w:ind w:left="709" w:hanging="349"/>
        <w:contextualSpacing/>
      </w:pPr>
      <w:r>
        <w:t>Falha no uso do monitoramento do débito cardíaco em um paciente do grupo intervenção</w:t>
      </w:r>
    </w:p>
    <w:p w14:paraId="38B0066C" w14:textId="77777777" w:rsidR="00460643" w:rsidRPr="00211D10" w:rsidRDefault="00460643" w:rsidP="00D437A6">
      <w:pPr>
        <w:numPr>
          <w:ilvl w:val="0"/>
          <w:numId w:val="13"/>
        </w:numPr>
        <w:ind w:firstLine="0"/>
        <w:contextualSpacing/>
      </w:pPr>
      <w:r>
        <w:t>Falha na administração do inotrópico em um paciente do grupo intervenção</w:t>
      </w:r>
    </w:p>
    <w:p w14:paraId="53F33221" w14:textId="77777777" w:rsidR="00460643" w:rsidRPr="00211D10" w:rsidRDefault="00460643" w:rsidP="00D437A6">
      <w:pPr>
        <w:numPr>
          <w:ilvl w:val="0"/>
          <w:numId w:val="13"/>
        </w:numPr>
        <w:ind w:left="720"/>
        <w:contextualSpacing/>
      </w:pPr>
      <w:r>
        <w:t>Administração da dose incorreta do inotrópico em um paciente do grupo intervenção</w:t>
      </w:r>
    </w:p>
    <w:p w14:paraId="33D6EE1C" w14:textId="77777777" w:rsidR="00460643" w:rsidRPr="00A84FC9" w:rsidRDefault="00460643" w:rsidP="00D437A6">
      <w:pPr>
        <w:numPr>
          <w:ilvl w:val="0"/>
          <w:numId w:val="13"/>
        </w:numPr>
        <w:ind w:firstLine="0"/>
        <w:contextualSpacing/>
        <w:rPr>
          <w:rFonts w:cs="Arial"/>
          <w:szCs w:val="22"/>
        </w:rPr>
      </w:pPr>
      <w:r>
        <w:t>Uso do monitoramento do débito cardíaco em um paciente do grupo controle</w:t>
      </w:r>
    </w:p>
    <w:p w14:paraId="57798502" w14:textId="77777777" w:rsidR="00A84FC9" w:rsidRPr="00A44352" w:rsidRDefault="00A84FC9" w:rsidP="005239E5">
      <w:pPr>
        <w:ind w:left="360"/>
        <w:contextualSpacing/>
        <w:rPr>
          <w:rFonts w:cs="Arial"/>
          <w:szCs w:val="22"/>
        </w:rPr>
      </w:pPr>
    </w:p>
    <w:p w14:paraId="6BF07996" w14:textId="4677DE30" w:rsidR="001535CD" w:rsidRDefault="001535CD" w:rsidP="005239E5">
      <w:pPr>
        <w:pStyle w:val="Heading2"/>
        <w:spacing w:before="0" w:after="0"/>
        <w:contextualSpacing/>
      </w:pPr>
      <w:r>
        <w:t>7.9 Procedimentos do seguimento</w:t>
      </w:r>
    </w:p>
    <w:p w14:paraId="037563DC" w14:textId="77777777" w:rsidR="001535CD" w:rsidRDefault="001535CD" w:rsidP="005239E5">
      <w:pPr>
        <w:autoSpaceDE w:val="0"/>
        <w:autoSpaceDN w:val="0"/>
        <w:adjustRightInd w:val="0"/>
        <w:contextualSpacing/>
        <w:jc w:val="both"/>
        <w:rPr>
          <w:rFonts w:cs="Arial"/>
          <w:szCs w:val="22"/>
        </w:rPr>
      </w:pPr>
      <w:r>
        <w:t xml:space="preserve">Para minimizar o viés, os dados de seguimento serão coletados por um investigador que desconhece a designação do grupo do estudo. Os investigadores irão rever os registros médicos do participante e entrar em contato por telefone para realizar entrevistas rápidas 30 e 180 dias após a cirurgia. Para coletar dados sobre os resultados secundários e facilitar a análise econômica aplicada à saúde, iremos solicitar as estatísticas de episódios hospitalares e dados de mortalidade para os participantes na Inglaterra ao </w:t>
      </w:r>
      <w:r w:rsidR="00966C85" w:rsidRPr="00D91233">
        <w:rPr>
          <w:i/>
        </w:rPr>
        <w:t>NHS Digital</w:t>
      </w:r>
      <w:r>
        <w:t xml:space="preserve"> (anteriormente </w:t>
      </w:r>
      <w:r w:rsidR="003C33FB">
        <w:t xml:space="preserve">designado </w:t>
      </w:r>
      <w:r>
        <w:t xml:space="preserve">HSCIC) ou a uma base de dados nacionais equivalente. Iremos solicitar um consentimento futuro ao ONS/HES (ou a uma base de dados nacional equivalente) para a vinculação dos dados antes das inscrições no </w:t>
      </w:r>
      <w:r w:rsidR="00E43DDD">
        <w:t>estudo</w:t>
      </w:r>
      <w:r>
        <w:t xml:space="preserve"> clínico.</w:t>
      </w:r>
    </w:p>
    <w:p w14:paraId="4984A5D8" w14:textId="77777777" w:rsidR="001535CD" w:rsidRDefault="001535CD" w:rsidP="005239E5">
      <w:pPr>
        <w:autoSpaceDE w:val="0"/>
        <w:autoSpaceDN w:val="0"/>
        <w:adjustRightInd w:val="0"/>
        <w:contextualSpacing/>
        <w:rPr>
          <w:rFonts w:cs="Arial"/>
          <w:szCs w:val="22"/>
        </w:rPr>
      </w:pPr>
    </w:p>
    <w:p w14:paraId="00DB2EC8" w14:textId="77777777" w:rsidR="001535CD" w:rsidRDefault="001535CD" w:rsidP="005239E5">
      <w:pPr>
        <w:pStyle w:val="Heading2"/>
        <w:spacing w:before="0" w:after="0"/>
        <w:contextualSpacing/>
      </w:pPr>
      <w:r>
        <w:t>7.10 Saída dos participantes</w:t>
      </w:r>
    </w:p>
    <w:p w14:paraId="739E63ED" w14:textId="77777777" w:rsidR="00460643" w:rsidRDefault="009C048A" w:rsidP="005239E5">
      <w:pPr>
        <w:contextualSpacing/>
        <w:jc w:val="both"/>
      </w:pPr>
      <w:r>
        <w:t>Todos os participantes são livres para saírem do estudo a qualquer momento. Todos os pacientes randomizados com um resultado registrado serão incluídos na análise final por intenção de tratar, a menos que um participante solicite especificamente que seus dados não sejam incluídos.</w:t>
      </w:r>
    </w:p>
    <w:p w14:paraId="1E6C80EC" w14:textId="77777777" w:rsidR="001535CD" w:rsidRDefault="001535CD" w:rsidP="005239E5">
      <w:pPr>
        <w:widowControl w:val="0"/>
        <w:tabs>
          <w:tab w:val="left" w:pos="220"/>
          <w:tab w:val="left" w:pos="720"/>
        </w:tabs>
        <w:autoSpaceDE w:val="0"/>
        <w:autoSpaceDN w:val="0"/>
        <w:adjustRightInd w:val="0"/>
        <w:contextualSpacing/>
        <w:jc w:val="both"/>
        <w:rPr>
          <w:rFonts w:cs="Arial"/>
          <w:szCs w:val="22"/>
        </w:rPr>
      </w:pPr>
    </w:p>
    <w:p w14:paraId="439AAC7C" w14:textId="77777777" w:rsidR="001535CD" w:rsidRDefault="00867BC4" w:rsidP="005239E5">
      <w:pPr>
        <w:pStyle w:val="Heading2"/>
        <w:spacing w:before="0" w:after="0"/>
        <w:contextualSpacing/>
      </w:pPr>
      <w:r>
        <w:t>7.11 Auto</w:t>
      </w:r>
      <w:r w:rsidR="001535CD">
        <w:t>avaliação do mascaramento pela equipe de pesquisa</w:t>
      </w:r>
    </w:p>
    <w:p w14:paraId="1FD7E737" w14:textId="77777777" w:rsidR="001535CD" w:rsidRDefault="001535CD" w:rsidP="005239E5">
      <w:pPr>
        <w:contextualSpacing/>
        <w:jc w:val="both"/>
        <w:rPr>
          <w:rFonts w:cs="Arial"/>
          <w:szCs w:val="22"/>
        </w:rPr>
      </w:pPr>
      <w:r>
        <w:t xml:space="preserve">A equipe de pesquisa </w:t>
      </w:r>
      <w:r w:rsidR="00532854">
        <w:t xml:space="preserve">que coletará </w:t>
      </w:r>
      <w:r>
        <w:t xml:space="preserve">os dados </w:t>
      </w:r>
      <w:r w:rsidR="00532854">
        <w:t xml:space="preserve">de </w:t>
      </w:r>
      <w:r>
        <w:t>resultados fa</w:t>
      </w:r>
      <w:r w:rsidR="00532854">
        <w:t>rá</w:t>
      </w:r>
      <w:r>
        <w:t xml:space="preserve"> uma autoavaliação que nos permitirá avaliar a efetividade dos procedimentos de mascaramento durante o </w:t>
      </w:r>
      <w:r w:rsidR="00E43DDD">
        <w:t>estudo</w:t>
      </w:r>
      <w:r>
        <w:t xml:space="preserve"> clínico. </w:t>
      </w:r>
      <w:r w:rsidR="00D2677C">
        <w:t xml:space="preserve">Esses membros da equipe </w:t>
      </w:r>
      <w:r>
        <w:t>classificarão a si próprios usando uma das seguintes opções:</w:t>
      </w:r>
    </w:p>
    <w:p w14:paraId="38CDFE79" w14:textId="77777777" w:rsidR="001535CD" w:rsidRDefault="001535CD" w:rsidP="00A0670F">
      <w:pPr>
        <w:pStyle w:val="ListParagraph"/>
        <w:numPr>
          <w:ilvl w:val="0"/>
          <w:numId w:val="6"/>
        </w:numPr>
        <w:rPr>
          <w:rFonts w:cs="Arial"/>
          <w:szCs w:val="22"/>
        </w:rPr>
      </w:pPr>
      <w:r>
        <w:t>Mascaramento adequado</w:t>
      </w:r>
    </w:p>
    <w:p w14:paraId="51A84B76" w14:textId="77777777" w:rsidR="001535CD" w:rsidRDefault="001535CD" w:rsidP="00A0670F">
      <w:pPr>
        <w:pStyle w:val="ListParagraph"/>
        <w:numPr>
          <w:ilvl w:val="0"/>
          <w:numId w:val="6"/>
        </w:numPr>
        <w:rPr>
          <w:rFonts w:cs="Arial"/>
          <w:szCs w:val="22"/>
        </w:rPr>
      </w:pPr>
      <w:r>
        <w:t>Conhecimento da atribuição ao grupo do estudo</w:t>
      </w:r>
    </w:p>
    <w:p w14:paraId="4063D019" w14:textId="77777777" w:rsidR="001535CD" w:rsidRPr="00185000" w:rsidRDefault="001535CD" w:rsidP="00A0670F">
      <w:pPr>
        <w:pStyle w:val="ListParagraph"/>
        <w:numPr>
          <w:ilvl w:val="0"/>
          <w:numId w:val="6"/>
        </w:numPr>
        <w:rPr>
          <w:rFonts w:cs="Arial"/>
          <w:szCs w:val="22"/>
        </w:rPr>
      </w:pPr>
      <w:r>
        <w:t>Conhecimento definitivo da atribuição ao grupo do estudo</w:t>
      </w:r>
    </w:p>
    <w:p w14:paraId="50332DF1" w14:textId="77777777" w:rsidR="001535CD" w:rsidRPr="0007503A" w:rsidRDefault="001535CD" w:rsidP="005239E5">
      <w:pPr>
        <w:contextualSpacing/>
        <w:rPr>
          <w:rFonts w:cs="Arial"/>
          <w:szCs w:val="22"/>
        </w:rPr>
      </w:pPr>
    </w:p>
    <w:p w14:paraId="56764EBE" w14:textId="77777777" w:rsidR="001535CD" w:rsidRDefault="001535CD" w:rsidP="005239E5">
      <w:pPr>
        <w:pStyle w:val="Heading2"/>
        <w:spacing w:before="0" w:after="0"/>
        <w:contextualSpacing/>
      </w:pPr>
      <w:r>
        <w:t>7.12 Definição de encerramento do estudo</w:t>
      </w:r>
    </w:p>
    <w:p w14:paraId="13B7A0D9" w14:textId="77777777" w:rsidR="004668D2" w:rsidRDefault="001535CD" w:rsidP="00E769BE">
      <w:pPr>
        <w:widowControl w:val="0"/>
        <w:tabs>
          <w:tab w:val="left" w:pos="220"/>
          <w:tab w:val="left" w:pos="720"/>
        </w:tabs>
        <w:autoSpaceDE w:val="0"/>
        <w:autoSpaceDN w:val="0"/>
        <w:adjustRightInd w:val="0"/>
        <w:contextualSpacing/>
        <w:jc w:val="both"/>
        <w:rPr>
          <w:rFonts w:cs="Arial"/>
          <w:bCs/>
          <w:color w:val="000000"/>
          <w:szCs w:val="22"/>
        </w:rPr>
      </w:pPr>
      <w:r>
        <w:rPr>
          <w:color w:val="000000"/>
        </w:rPr>
        <w:t xml:space="preserve">O encerramento do estudo é definido como sendo o ponto no qual o último paciente completou o processo de seguimento aos 180 dias. O Comitê de Ética e Monitoramento de Dados (CEMD) irá monitorar os dados de segurança durante todo o </w:t>
      </w:r>
      <w:r w:rsidR="00E43DDD">
        <w:rPr>
          <w:color w:val="000000"/>
        </w:rPr>
        <w:t>estudo</w:t>
      </w:r>
      <w:r>
        <w:rPr>
          <w:color w:val="000000"/>
        </w:rPr>
        <w:t xml:space="preserve"> clínico e irá reunir-se rotineiramente para avaliar as análises de segurança. Com base nestes resultados</w:t>
      </w:r>
      <w:r w:rsidR="00344D36">
        <w:rPr>
          <w:color w:val="000000"/>
        </w:rPr>
        <w:t>,</w:t>
      </w:r>
      <w:r>
        <w:rPr>
          <w:color w:val="000000"/>
        </w:rPr>
        <w:t xml:space="preserve"> o encerramento do </w:t>
      </w:r>
      <w:r w:rsidR="00E43DDD">
        <w:rPr>
          <w:color w:val="000000"/>
        </w:rPr>
        <w:t>estudo</w:t>
      </w:r>
      <w:r>
        <w:rPr>
          <w:color w:val="000000"/>
        </w:rPr>
        <w:t xml:space="preserve"> clínico pode</w:t>
      </w:r>
      <w:r w:rsidR="00344D36">
        <w:rPr>
          <w:color w:val="000000"/>
        </w:rPr>
        <w:t>rá</w:t>
      </w:r>
      <w:r>
        <w:rPr>
          <w:color w:val="000000"/>
        </w:rPr>
        <w:t xml:space="preserve"> ser recomendado por motivos de segurança. Qualquer objeção será notificada ao Comitê de Orientação do </w:t>
      </w:r>
      <w:r w:rsidR="00E43DDD">
        <w:rPr>
          <w:color w:val="000000"/>
        </w:rPr>
        <w:t>Estudo</w:t>
      </w:r>
      <w:r>
        <w:rPr>
          <w:color w:val="000000"/>
        </w:rPr>
        <w:t xml:space="preserve"> Clínico (COE), que irá informar ao patrocinador e tomar as medidas adequadas, que poderão incluir a interrupção do </w:t>
      </w:r>
      <w:r w:rsidR="00E43DDD">
        <w:rPr>
          <w:color w:val="000000"/>
        </w:rPr>
        <w:t>estudo</w:t>
      </w:r>
      <w:r>
        <w:rPr>
          <w:color w:val="000000"/>
        </w:rPr>
        <w:t xml:space="preserve"> clínico para que as questões sobre a segurança dos participantes sejam abordadas. O Comitê de Ética em Pesquisa será informado por escrito caso o </w:t>
      </w:r>
      <w:r w:rsidR="00E43DDD">
        <w:rPr>
          <w:color w:val="000000"/>
        </w:rPr>
        <w:t>estudo</w:t>
      </w:r>
      <w:r>
        <w:rPr>
          <w:color w:val="000000"/>
        </w:rPr>
        <w:t xml:space="preserve"> clínico seja suspenso ou </w:t>
      </w:r>
      <w:r w:rsidR="00D25C15">
        <w:rPr>
          <w:color w:val="000000"/>
        </w:rPr>
        <w:t xml:space="preserve">encerrado </w:t>
      </w:r>
      <w:r>
        <w:rPr>
          <w:color w:val="000000"/>
        </w:rPr>
        <w:t>prematuramente.</w:t>
      </w:r>
    </w:p>
    <w:p w14:paraId="06A265CC" w14:textId="77777777" w:rsidR="00C96188" w:rsidRDefault="00C96188">
      <w:pPr>
        <w:spacing w:line="240" w:lineRule="auto"/>
        <w:rPr>
          <w:b/>
          <w:i/>
          <w:szCs w:val="20"/>
        </w:rPr>
      </w:pPr>
      <w:r>
        <w:br w:type="page"/>
      </w:r>
    </w:p>
    <w:p w14:paraId="1F280918" w14:textId="7F93B219" w:rsidR="001535CD" w:rsidRDefault="001535CD" w:rsidP="005239E5">
      <w:pPr>
        <w:pStyle w:val="Heading2"/>
        <w:spacing w:before="0" w:after="0"/>
        <w:contextualSpacing/>
      </w:pPr>
      <w:r>
        <w:t>7.13 Cronograma de avaliações</w:t>
      </w:r>
    </w:p>
    <w:tbl>
      <w:tblPr>
        <w:tblpPr w:leftFromText="180" w:rightFromText="180" w:vertAnchor="text" w:horzAnchor="margin" w:tblpY="37"/>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073"/>
        <w:gridCol w:w="1053"/>
        <w:gridCol w:w="1093"/>
        <w:gridCol w:w="1073"/>
        <w:gridCol w:w="1073"/>
        <w:gridCol w:w="1074"/>
      </w:tblGrid>
      <w:tr w:rsidR="005105B6" w:rsidRPr="006D16C9" w14:paraId="240320D3" w14:textId="77777777" w:rsidTr="005105B6">
        <w:trPr>
          <w:trHeight w:val="472"/>
        </w:trPr>
        <w:tc>
          <w:tcPr>
            <w:tcW w:w="2127" w:type="dxa"/>
            <w:shd w:val="clear" w:color="auto" w:fill="D9D9D9"/>
            <w:vAlign w:val="center"/>
          </w:tcPr>
          <w:p w14:paraId="5DF1AA38"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Evento/Consulta</w:t>
            </w:r>
          </w:p>
        </w:tc>
        <w:tc>
          <w:tcPr>
            <w:tcW w:w="1073" w:type="dxa"/>
            <w:shd w:val="clear" w:color="auto" w:fill="F3F3F3"/>
            <w:vAlign w:val="center"/>
          </w:tcPr>
          <w:p w14:paraId="1B1C11A5"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Triagem</w:t>
            </w:r>
          </w:p>
        </w:tc>
        <w:tc>
          <w:tcPr>
            <w:tcW w:w="1053" w:type="dxa"/>
            <w:shd w:val="clear" w:color="auto" w:fill="D9D9D9"/>
            <w:vAlign w:val="center"/>
          </w:tcPr>
          <w:p w14:paraId="1EDD9E9E"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Antes da cirurgia</w:t>
            </w:r>
          </w:p>
        </w:tc>
        <w:tc>
          <w:tcPr>
            <w:tcW w:w="1093" w:type="dxa"/>
            <w:shd w:val="clear" w:color="auto" w:fill="F2F2F2"/>
            <w:vAlign w:val="center"/>
          </w:tcPr>
          <w:p w14:paraId="371AC54D"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24 horas após a cirurgia</w:t>
            </w:r>
          </w:p>
        </w:tc>
        <w:tc>
          <w:tcPr>
            <w:tcW w:w="1073" w:type="dxa"/>
            <w:shd w:val="clear" w:color="auto" w:fill="D9D9D9"/>
            <w:vAlign w:val="center"/>
          </w:tcPr>
          <w:p w14:paraId="190FF3C4"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Alta hospitalar</w:t>
            </w:r>
          </w:p>
        </w:tc>
        <w:tc>
          <w:tcPr>
            <w:tcW w:w="1073" w:type="dxa"/>
            <w:shd w:val="clear" w:color="auto" w:fill="F2F2F2"/>
            <w:vAlign w:val="center"/>
          </w:tcPr>
          <w:p w14:paraId="1407630C"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30 dias após a cirurgia</w:t>
            </w:r>
          </w:p>
        </w:tc>
        <w:tc>
          <w:tcPr>
            <w:tcW w:w="1074" w:type="dxa"/>
            <w:shd w:val="clear" w:color="auto" w:fill="D9D9D9"/>
            <w:vAlign w:val="center"/>
          </w:tcPr>
          <w:p w14:paraId="7A6F89B7" w14:textId="77777777" w:rsidR="005105B6" w:rsidRPr="005551BA" w:rsidRDefault="005105B6" w:rsidP="005105B6">
            <w:pPr>
              <w:tabs>
                <w:tab w:val="left" w:pos="540"/>
              </w:tabs>
              <w:spacing w:line="240" w:lineRule="auto"/>
              <w:contextualSpacing/>
              <w:jc w:val="center"/>
              <w:rPr>
                <w:rFonts w:cs="Arial"/>
                <w:b/>
                <w:sz w:val="16"/>
                <w:szCs w:val="16"/>
              </w:rPr>
            </w:pPr>
            <w:r>
              <w:rPr>
                <w:b/>
                <w:sz w:val="16"/>
              </w:rPr>
              <w:t>180 dias após a cirurgia</w:t>
            </w:r>
          </w:p>
        </w:tc>
      </w:tr>
      <w:tr w:rsidR="005105B6" w:rsidRPr="006D16C9" w14:paraId="578F76DB" w14:textId="77777777" w:rsidTr="005105B6">
        <w:trPr>
          <w:trHeight w:val="260"/>
        </w:trPr>
        <w:tc>
          <w:tcPr>
            <w:tcW w:w="2127" w:type="dxa"/>
            <w:shd w:val="clear" w:color="auto" w:fill="D9D9D9"/>
            <w:vAlign w:val="center"/>
          </w:tcPr>
          <w:p w14:paraId="270F157F" w14:textId="77777777" w:rsidR="005105B6" w:rsidRPr="005551BA" w:rsidRDefault="005105B6" w:rsidP="005105B6">
            <w:pPr>
              <w:tabs>
                <w:tab w:val="left" w:pos="540"/>
              </w:tabs>
              <w:spacing w:line="240" w:lineRule="auto"/>
              <w:contextualSpacing/>
              <w:rPr>
                <w:rFonts w:cs="Arial"/>
                <w:sz w:val="16"/>
                <w:szCs w:val="16"/>
              </w:rPr>
            </w:pPr>
            <w:r>
              <w:rPr>
                <w:sz w:val="16"/>
              </w:rPr>
              <w:t>Critérios de inclusão/exclusão</w:t>
            </w:r>
          </w:p>
        </w:tc>
        <w:tc>
          <w:tcPr>
            <w:tcW w:w="1073" w:type="dxa"/>
            <w:shd w:val="clear" w:color="auto" w:fill="F3F3F3"/>
            <w:vAlign w:val="center"/>
          </w:tcPr>
          <w:p w14:paraId="08B8709F"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53" w:type="dxa"/>
            <w:shd w:val="clear" w:color="auto" w:fill="D9D9D9"/>
            <w:vAlign w:val="center"/>
          </w:tcPr>
          <w:p w14:paraId="26C5422E"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78889DF3"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2C2058CF"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6FFBB578"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266DA63F"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014C0138" w14:textId="77777777" w:rsidTr="005105B6">
        <w:trPr>
          <w:trHeight w:val="260"/>
        </w:trPr>
        <w:tc>
          <w:tcPr>
            <w:tcW w:w="2127" w:type="dxa"/>
            <w:shd w:val="clear" w:color="auto" w:fill="D9D9D9"/>
            <w:vAlign w:val="center"/>
          </w:tcPr>
          <w:p w14:paraId="35CFA3B3" w14:textId="77777777" w:rsidR="005105B6" w:rsidRPr="005551BA" w:rsidRDefault="00BA18B8" w:rsidP="005105B6">
            <w:pPr>
              <w:tabs>
                <w:tab w:val="left" w:pos="540"/>
              </w:tabs>
              <w:spacing w:line="240" w:lineRule="auto"/>
              <w:contextualSpacing/>
              <w:rPr>
                <w:rFonts w:cs="Arial"/>
                <w:sz w:val="16"/>
                <w:szCs w:val="16"/>
              </w:rPr>
            </w:pPr>
            <w:r>
              <w:rPr>
                <w:sz w:val="16"/>
              </w:rPr>
              <w:t>Termo de c</w:t>
            </w:r>
            <w:r w:rsidR="005105B6">
              <w:rPr>
                <w:sz w:val="16"/>
              </w:rPr>
              <w:t>onsentimento livre e esclarecido</w:t>
            </w:r>
          </w:p>
        </w:tc>
        <w:tc>
          <w:tcPr>
            <w:tcW w:w="1073" w:type="dxa"/>
            <w:shd w:val="clear" w:color="auto" w:fill="F3F3F3"/>
            <w:vAlign w:val="center"/>
          </w:tcPr>
          <w:p w14:paraId="79C7D254"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53" w:type="dxa"/>
            <w:shd w:val="clear" w:color="auto" w:fill="D9D9D9"/>
            <w:vAlign w:val="center"/>
          </w:tcPr>
          <w:p w14:paraId="01DCEB96"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134691C4"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1552CF7E"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24EEE39A"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7B9E41B7"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1D5FF979" w14:textId="77777777" w:rsidTr="005105B6">
        <w:trPr>
          <w:trHeight w:val="260"/>
        </w:trPr>
        <w:tc>
          <w:tcPr>
            <w:tcW w:w="2127" w:type="dxa"/>
            <w:shd w:val="clear" w:color="auto" w:fill="D9D9D9"/>
            <w:vAlign w:val="center"/>
          </w:tcPr>
          <w:p w14:paraId="5BD77F02" w14:textId="77777777" w:rsidR="005105B6" w:rsidRPr="005551BA" w:rsidRDefault="005105B6" w:rsidP="005105B6">
            <w:pPr>
              <w:tabs>
                <w:tab w:val="left" w:pos="540"/>
              </w:tabs>
              <w:spacing w:line="240" w:lineRule="auto"/>
              <w:contextualSpacing/>
              <w:rPr>
                <w:rFonts w:cs="Arial"/>
                <w:sz w:val="16"/>
                <w:szCs w:val="16"/>
              </w:rPr>
            </w:pPr>
            <w:r>
              <w:rPr>
                <w:sz w:val="16"/>
              </w:rPr>
              <w:t>Informações demográficas</w:t>
            </w:r>
          </w:p>
        </w:tc>
        <w:tc>
          <w:tcPr>
            <w:tcW w:w="1073" w:type="dxa"/>
            <w:shd w:val="clear" w:color="auto" w:fill="F3F3F3"/>
            <w:vAlign w:val="center"/>
          </w:tcPr>
          <w:p w14:paraId="75305C5F"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5B549C59"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93" w:type="dxa"/>
            <w:shd w:val="clear" w:color="auto" w:fill="F2F2F2"/>
            <w:vAlign w:val="center"/>
          </w:tcPr>
          <w:p w14:paraId="57FEFBA4"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6C089F56"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21D5A180"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1BA17DB3"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52D8098E" w14:textId="77777777" w:rsidTr="005105B6">
        <w:trPr>
          <w:trHeight w:val="260"/>
        </w:trPr>
        <w:tc>
          <w:tcPr>
            <w:tcW w:w="2127" w:type="dxa"/>
            <w:shd w:val="clear" w:color="auto" w:fill="D9D9D9"/>
            <w:vAlign w:val="center"/>
          </w:tcPr>
          <w:p w14:paraId="05F24857" w14:textId="77777777" w:rsidR="005105B6" w:rsidRPr="005551BA" w:rsidRDefault="005105B6" w:rsidP="005105B6">
            <w:pPr>
              <w:tabs>
                <w:tab w:val="left" w:pos="540"/>
              </w:tabs>
              <w:spacing w:line="240" w:lineRule="auto"/>
              <w:contextualSpacing/>
              <w:rPr>
                <w:rFonts w:cs="Arial"/>
                <w:sz w:val="16"/>
                <w:szCs w:val="16"/>
              </w:rPr>
            </w:pPr>
            <w:r>
              <w:rPr>
                <w:sz w:val="16"/>
              </w:rPr>
              <w:t>Histórico médico</w:t>
            </w:r>
          </w:p>
        </w:tc>
        <w:tc>
          <w:tcPr>
            <w:tcW w:w="1073" w:type="dxa"/>
            <w:shd w:val="clear" w:color="auto" w:fill="F3F3F3"/>
            <w:vAlign w:val="center"/>
          </w:tcPr>
          <w:p w14:paraId="3ACDD99E"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06225C17"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93" w:type="dxa"/>
            <w:shd w:val="clear" w:color="auto" w:fill="F2F2F2"/>
            <w:vAlign w:val="center"/>
          </w:tcPr>
          <w:p w14:paraId="6F33A217"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2ADE2DFD"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28971076"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465F58A2"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2A2B37C0" w14:textId="77777777" w:rsidTr="005105B6">
        <w:trPr>
          <w:trHeight w:val="260"/>
        </w:trPr>
        <w:tc>
          <w:tcPr>
            <w:tcW w:w="2127" w:type="dxa"/>
            <w:shd w:val="clear" w:color="auto" w:fill="D9D9D9"/>
            <w:vAlign w:val="center"/>
          </w:tcPr>
          <w:p w14:paraId="44F36A19" w14:textId="77777777" w:rsidR="005105B6" w:rsidRPr="005551BA" w:rsidRDefault="005105B6" w:rsidP="005105B6">
            <w:pPr>
              <w:tabs>
                <w:tab w:val="left" w:pos="540"/>
              </w:tabs>
              <w:spacing w:line="240" w:lineRule="auto"/>
              <w:contextualSpacing/>
              <w:rPr>
                <w:rFonts w:cs="Arial"/>
                <w:sz w:val="16"/>
                <w:szCs w:val="16"/>
              </w:rPr>
            </w:pPr>
            <w:r>
              <w:rPr>
                <w:sz w:val="16"/>
              </w:rPr>
              <w:t>Altura e peso</w:t>
            </w:r>
          </w:p>
        </w:tc>
        <w:tc>
          <w:tcPr>
            <w:tcW w:w="1073" w:type="dxa"/>
            <w:shd w:val="clear" w:color="auto" w:fill="F3F3F3"/>
            <w:vAlign w:val="center"/>
          </w:tcPr>
          <w:p w14:paraId="493A0EEF"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535BB619"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93" w:type="dxa"/>
            <w:shd w:val="clear" w:color="auto" w:fill="F2F2F2"/>
            <w:vAlign w:val="center"/>
          </w:tcPr>
          <w:p w14:paraId="0065BDAB"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5A2A01C4"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1892A256"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4C6A6ED8"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090812" w14:paraId="0A75A6CA" w14:textId="77777777" w:rsidTr="005105B6">
        <w:trPr>
          <w:trHeight w:val="260"/>
        </w:trPr>
        <w:tc>
          <w:tcPr>
            <w:tcW w:w="2127" w:type="dxa"/>
            <w:shd w:val="clear" w:color="auto" w:fill="D9D9D9"/>
            <w:vAlign w:val="center"/>
          </w:tcPr>
          <w:p w14:paraId="57068E13" w14:textId="77777777" w:rsidR="005105B6" w:rsidRPr="005551BA" w:rsidRDefault="005105B6" w:rsidP="005105B6">
            <w:pPr>
              <w:tabs>
                <w:tab w:val="left" w:pos="540"/>
              </w:tabs>
              <w:spacing w:line="240" w:lineRule="auto"/>
              <w:contextualSpacing/>
              <w:rPr>
                <w:rFonts w:cs="Arial"/>
                <w:sz w:val="16"/>
                <w:szCs w:val="16"/>
              </w:rPr>
            </w:pPr>
            <w:r>
              <w:rPr>
                <w:sz w:val="16"/>
              </w:rPr>
              <w:t>EQ-5D-3L (Somente Reino Unido)</w:t>
            </w:r>
          </w:p>
        </w:tc>
        <w:tc>
          <w:tcPr>
            <w:tcW w:w="1073" w:type="dxa"/>
            <w:shd w:val="clear" w:color="auto" w:fill="F3F3F3"/>
            <w:vAlign w:val="center"/>
          </w:tcPr>
          <w:p w14:paraId="31855A20"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63DF54B1"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93" w:type="dxa"/>
            <w:shd w:val="clear" w:color="auto" w:fill="F2F2F2"/>
            <w:vAlign w:val="center"/>
          </w:tcPr>
          <w:p w14:paraId="09C0E6B1"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485EC65A"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76EC516B"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4" w:type="dxa"/>
            <w:shd w:val="clear" w:color="auto" w:fill="D9D9D9"/>
            <w:vAlign w:val="center"/>
          </w:tcPr>
          <w:p w14:paraId="62FC7732"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r>
      <w:tr w:rsidR="005105B6" w:rsidRPr="006D16C9" w14:paraId="4E9C071D" w14:textId="77777777" w:rsidTr="005105B6">
        <w:trPr>
          <w:trHeight w:val="260"/>
        </w:trPr>
        <w:tc>
          <w:tcPr>
            <w:tcW w:w="2127" w:type="dxa"/>
            <w:shd w:val="clear" w:color="auto" w:fill="D9D9D9"/>
            <w:vAlign w:val="center"/>
          </w:tcPr>
          <w:p w14:paraId="5E8C3CE4" w14:textId="77777777" w:rsidR="005105B6" w:rsidRPr="005551BA" w:rsidRDefault="005105B6" w:rsidP="005105B6">
            <w:pPr>
              <w:tabs>
                <w:tab w:val="left" w:pos="540"/>
              </w:tabs>
              <w:spacing w:line="240" w:lineRule="auto"/>
              <w:contextualSpacing/>
              <w:rPr>
                <w:rFonts w:cs="Arial"/>
                <w:sz w:val="16"/>
                <w:szCs w:val="16"/>
              </w:rPr>
            </w:pPr>
            <w:r>
              <w:rPr>
                <w:sz w:val="16"/>
              </w:rPr>
              <w:t>Randomização</w:t>
            </w:r>
          </w:p>
        </w:tc>
        <w:tc>
          <w:tcPr>
            <w:tcW w:w="1073" w:type="dxa"/>
            <w:shd w:val="clear" w:color="auto" w:fill="F3F3F3"/>
            <w:vAlign w:val="center"/>
          </w:tcPr>
          <w:p w14:paraId="4508E8CB"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01D79827"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93" w:type="dxa"/>
            <w:shd w:val="clear" w:color="auto" w:fill="F2F2F2"/>
            <w:vAlign w:val="center"/>
          </w:tcPr>
          <w:p w14:paraId="46F4D2EE"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394CC83C"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51AA731F"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130F577D"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6E024DAA" w14:textId="77777777" w:rsidTr="005105B6">
        <w:trPr>
          <w:trHeight w:val="260"/>
        </w:trPr>
        <w:tc>
          <w:tcPr>
            <w:tcW w:w="2127" w:type="dxa"/>
            <w:shd w:val="clear" w:color="auto" w:fill="D9D9D9"/>
            <w:vAlign w:val="center"/>
          </w:tcPr>
          <w:p w14:paraId="52C9BFEC" w14:textId="77777777" w:rsidR="005105B6" w:rsidRPr="005551BA" w:rsidRDefault="005105B6" w:rsidP="005105B6">
            <w:pPr>
              <w:tabs>
                <w:tab w:val="left" w:pos="540"/>
              </w:tabs>
              <w:spacing w:line="240" w:lineRule="auto"/>
              <w:contextualSpacing/>
              <w:rPr>
                <w:rFonts w:cs="Arial"/>
                <w:sz w:val="16"/>
                <w:szCs w:val="16"/>
              </w:rPr>
            </w:pPr>
            <w:r>
              <w:rPr>
                <w:sz w:val="16"/>
              </w:rPr>
              <w:t>Informações intraoperativas</w:t>
            </w:r>
          </w:p>
        </w:tc>
        <w:tc>
          <w:tcPr>
            <w:tcW w:w="1073" w:type="dxa"/>
            <w:shd w:val="clear" w:color="auto" w:fill="F3F3F3"/>
            <w:vAlign w:val="center"/>
          </w:tcPr>
          <w:p w14:paraId="20D49927"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17042D89"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1653955F"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D9D9D9"/>
            <w:vAlign w:val="center"/>
          </w:tcPr>
          <w:p w14:paraId="1F96249F"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5E07A9B2"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67060BDF"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761FB831" w14:textId="77777777" w:rsidTr="005105B6">
        <w:trPr>
          <w:trHeight w:val="260"/>
        </w:trPr>
        <w:tc>
          <w:tcPr>
            <w:tcW w:w="2127" w:type="dxa"/>
            <w:shd w:val="clear" w:color="auto" w:fill="D9D9D9"/>
            <w:vAlign w:val="center"/>
          </w:tcPr>
          <w:p w14:paraId="696A62EC" w14:textId="77777777" w:rsidR="005105B6" w:rsidRPr="005551BA" w:rsidRDefault="005105B6" w:rsidP="005105B6">
            <w:pPr>
              <w:tabs>
                <w:tab w:val="left" w:pos="540"/>
              </w:tabs>
              <w:spacing w:line="240" w:lineRule="auto"/>
              <w:contextualSpacing/>
              <w:rPr>
                <w:rFonts w:cs="Arial"/>
                <w:sz w:val="16"/>
                <w:szCs w:val="16"/>
              </w:rPr>
            </w:pPr>
            <w:r>
              <w:rPr>
                <w:sz w:val="16"/>
              </w:rPr>
              <w:t>Fluidoterapia e terapia associada a inotrópicos</w:t>
            </w:r>
          </w:p>
        </w:tc>
        <w:tc>
          <w:tcPr>
            <w:tcW w:w="1073" w:type="dxa"/>
            <w:shd w:val="clear" w:color="auto" w:fill="F3F3F3"/>
            <w:vAlign w:val="center"/>
          </w:tcPr>
          <w:p w14:paraId="3161F4CA"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15F8C94B"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044F08E8"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D9D9D9"/>
            <w:vAlign w:val="center"/>
          </w:tcPr>
          <w:p w14:paraId="67156AC5"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3BADF423"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1B7BC420"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4FF8E27C" w14:textId="77777777" w:rsidTr="005105B6">
        <w:trPr>
          <w:trHeight w:val="260"/>
        </w:trPr>
        <w:tc>
          <w:tcPr>
            <w:tcW w:w="2127" w:type="dxa"/>
            <w:shd w:val="clear" w:color="auto" w:fill="D9D9D9"/>
            <w:vAlign w:val="center"/>
          </w:tcPr>
          <w:p w14:paraId="39EA3553" w14:textId="77777777" w:rsidR="005105B6" w:rsidRPr="005551BA" w:rsidRDefault="005105B6" w:rsidP="008245BA">
            <w:pPr>
              <w:tabs>
                <w:tab w:val="left" w:pos="540"/>
              </w:tabs>
              <w:spacing w:line="240" w:lineRule="auto"/>
              <w:contextualSpacing/>
              <w:rPr>
                <w:rFonts w:cs="Arial"/>
                <w:sz w:val="16"/>
                <w:szCs w:val="16"/>
              </w:rPr>
            </w:pPr>
            <w:r>
              <w:rPr>
                <w:sz w:val="16"/>
              </w:rPr>
              <w:t xml:space="preserve">Revisão do </w:t>
            </w:r>
            <w:r w:rsidR="008245BA">
              <w:rPr>
                <w:sz w:val="16"/>
              </w:rPr>
              <w:t>prontuário do paciente</w:t>
            </w:r>
          </w:p>
        </w:tc>
        <w:tc>
          <w:tcPr>
            <w:tcW w:w="1073" w:type="dxa"/>
            <w:shd w:val="clear" w:color="auto" w:fill="F3F3F3"/>
            <w:vAlign w:val="center"/>
          </w:tcPr>
          <w:p w14:paraId="690C7F00"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1F7118A4"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50CB05CC"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D9D9D9"/>
            <w:vAlign w:val="center"/>
          </w:tcPr>
          <w:p w14:paraId="17AA421F"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F2F2F2"/>
            <w:vAlign w:val="center"/>
          </w:tcPr>
          <w:p w14:paraId="79B75F06"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4" w:type="dxa"/>
            <w:shd w:val="clear" w:color="auto" w:fill="D9D9D9"/>
            <w:vAlign w:val="center"/>
          </w:tcPr>
          <w:p w14:paraId="0AC55920"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56EDAE12" w14:textId="77777777" w:rsidTr="005105B6">
        <w:trPr>
          <w:trHeight w:val="260"/>
        </w:trPr>
        <w:tc>
          <w:tcPr>
            <w:tcW w:w="2127" w:type="dxa"/>
            <w:shd w:val="clear" w:color="auto" w:fill="D9D9D9"/>
            <w:vAlign w:val="center"/>
          </w:tcPr>
          <w:p w14:paraId="1A15A24A" w14:textId="77777777" w:rsidR="005105B6" w:rsidRPr="005551BA" w:rsidRDefault="005105B6" w:rsidP="00A91289">
            <w:pPr>
              <w:tabs>
                <w:tab w:val="left" w:pos="540"/>
              </w:tabs>
              <w:spacing w:line="240" w:lineRule="auto"/>
              <w:contextualSpacing/>
              <w:rPr>
                <w:rFonts w:cs="Arial"/>
                <w:sz w:val="16"/>
                <w:szCs w:val="16"/>
              </w:rPr>
            </w:pPr>
            <w:r>
              <w:rPr>
                <w:sz w:val="16"/>
              </w:rPr>
              <w:t xml:space="preserve">Dias </w:t>
            </w:r>
            <w:r w:rsidR="00A91289">
              <w:rPr>
                <w:sz w:val="16"/>
              </w:rPr>
              <w:t xml:space="preserve">na </w:t>
            </w:r>
            <w:r>
              <w:rPr>
                <w:sz w:val="16"/>
              </w:rPr>
              <w:t>UTI e de internação hospitalar</w:t>
            </w:r>
          </w:p>
        </w:tc>
        <w:tc>
          <w:tcPr>
            <w:tcW w:w="1073" w:type="dxa"/>
            <w:shd w:val="clear" w:color="auto" w:fill="F3F3F3"/>
            <w:vAlign w:val="center"/>
          </w:tcPr>
          <w:p w14:paraId="4AFFB24B"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4E67D70A"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00B174C7"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32D9971D"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F2F2F2"/>
            <w:vAlign w:val="center"/>
          </w:tcPr>
          <w:p w14:paraId="6086FC71"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358F5647" w14:textId="77777777" w:rsidR="005105B6" w:rsidRPr="00BF0402" w:rsidRDefault="005105B6" w:rsidP="005105B6">
            <w:pPr>
              <w:tabs>
                <w:tab w:val="left" w:pos="540"/>
              </w:tabs>
              <w:spacing w:line="240" w:lineRule="auto"/>
              <w:contextualSpacing/>
              <w:jc w:val="center"/>
              <w:rPr>
                <w:rFonts w:cs="Arial"/>
                <w:sz w:val="16"/>
                <w:szCs w:val="16"/>
              </w:rPr>
            </w:pPr>
          </w:p>
        </w:tc>
      </w:tr>
      <w:tr w:rsidR="005105B6" w:rsidRPr="006D16C9" w14:paraId="4F81FBE6" w14:textId="77777777" w:rsidTr="005105B6">
        <w:trPr>
          <w:trHeight w:val="260"/>
        </w:trPr>
        <w:tc>
          <w:tcPr>
            <w:tcW w:w="2127" w:type="dxa"/>
            <w:shd w:val="clear" w:color="auto" w:fill="D9D9D9"/>
            <w:vAlign w:val="center"/>
          </w:tcPr>
          <w:p w14:paraId="773BBEEE" w14:textId="77777777" w:rsidR="005105B6" w:rsidRPr="005551BA" w:rsidRDefault="005105B6" w:rsidP="005105B6">
            <w:pPr>
              <w:tabs>
                <w:tab w:val="left" w:pos="540"/>
              </w:tabs>
              <w:spacing w:line="240" w:lineRule="auto"/>
              <w:contextualSpacing/>
              <w:rPr>
                <w:rFonts w:cs="Arial"/>
                <w:sz w:val="16"/>
                <w:szCs w:val="16"/>
              </w:rPr>
            </w:pPr>
            <w:r>
              <w:rPr>
                <w:sz w:val="16"/>
              </w:rPr>
              <w:t>Número de telefone para contato</w:t>
            </w:r>
          </w:p>
        </w:tc>
        <w:tc>
          <w:tcPr>
            <w:tcW w:w="1073" w:type="dxa"/>
            <w:shd w:val="clear" w:color="auto" w:fill="F3F3F3"/>
            <w:vAlign w:val="center"/>
          </w:tcPr>
          <w:p w14:paraId="4A189ADC"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2CF9C111"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0470662C"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670C53EA"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5EFC1F1C"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4" w:type="dxa"/>
            <w:shd w:val="clear" w:color="auto" w:fill="D9D9D9"/>
            <w:vAlign w:val="center"/>
          </w:tcPr>
          <w:p w14:paraId="09424C9E"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r>
      <w:tr w:rsidR="005105B6" w:rsidRPr="006D16C9" w14:paraId="69502D6D" w14:textId="77777777" w:rsidTr="005105B6">
        <w:trPr>
          <w:trHeight w:val="260"/>
        </w:trPr>
        <w:tc>
          <w:tcPr>
            <w:tcW w:w="2127" w:type="dxa"/>
            <w:shd w:val="clear" w:color="auto" w:fill="D9D9D9"/>
            <w:vAlign w:val="center"/>
          </w:tcPr>
          <w:p w14:paraId="48A990BA" w14:textId="77777777" w:rsidR="005105B6" w:rsidRPr="005551BA" w:rsidRDefault="005105B6" w:rsidP="005105B6">
            <w:pPr>
              <w:tabs>
                <w:tab w:val="left" w:pos="540"/>
              </w:tabs>
              <w:spacing w:line="240" w:lineRule="auto"/>
              <w:contextualSpacing/>
              <w:rPr>
                <w:rFonts w:cs="Arial"/>
                <w:sz w:val="16"/>
                <w:szCs w:val="16"/>
              </w:rPr>
            </w:pPr>
            <w:r>
              <w:rPr>
                <w:sz w:val="16"/>
              </w:rPr>
              <w:t>EA/EAG</w:t>
            </w:r>
          </w:p>
        </w:tc>
        <w:tc>
          <w:tcPr>
            <w:tcW w:w="1073" w:type="dxa"/>
            <w:shd w:val="clear" w:color="auto" w:fill="F3F3F3"/>
            <w:vAlign w:val="center"/>
          </w:tcPr>
          <w:p w14:paraId="2C22182C"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33061957"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0C06F1C8"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D9D9D9"/>
            <w:vAlign w:val="center"/>
          </w:tcPr>
          <w:p w14:paraId="01762A9A"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3" w:type="dxa"/>
            <w:shd w:val="clear" w:color="auto" w:fill="F2F2F2"/>
            <w:vAlign w:val="center"/>
          </w:tcPr>
          <w:p w14:paraId="2D4CF81D"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c>
          <w:tcPr>
            <w:tcW w:w="1074" w:type="dxa"/>
            <w:shd w:val="clear" w:color="auto" w:fill="D9D9D9"/>
            <w:vAlign w:val="center"/>
          </w:tcPr>
          <w:p w14:paraId="7CD743C7"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r>
      <w:tr w:rsidR="005105B6" w:rsidRPr="006D16C9" w14:paraId="7F33FC24" w14:textId="77777777" w:rsidTr="005105B6">
        <w:trPr>
          <w:trHeight w:val="260"/>
        </w:trPr>
        <w:tc>
          <w:tcPr>
            <w:tcW w:w="2127" w:type="dxa"/>
            <w:shd w:val="clear" w:color="auto" w:fill="D9D9D9"/>
            <w:vAlign w:val="center"/>
          </w:tcPr>
          <w:p w14:paraId="43EBA80E" w14:textId="77777777" w:rsidR="005105B6" w:rsidRPr="005551BA" w:rsidRDefault="005105B6" w:rsidP="005105B6">
            <w:pPr>
              <w:tabs>
                <w:tab w:val="left" w:pos="540"/>
              </w:tabs>
              <w:spacing w:line="240" w:lineRule="auto"/>
              <w:contextualSpacing/>
              <w:rPr>
                <w:rFonts w:cs="Arial"/>
                <w:sz w:val="16"/>
                <w:szCs w:val="16"/>
              </w:rPr>
            </w:pPr>
            <w:r>
              <w:rPr>
                <w:sz w:val="16"/>
              </w:rPr>
              <w:t xml:space="preserve">Formulário de encerramento do </w:t>
            </w:r>
            <w:r w:rsidR="00E43DDD">
              <w:rPr>
                <w:sz w:val="16"/>
              </w:rPr>
              <w:t>estudo</w:t>
            </w:r>
            <w:r>
              <w:rPr>
                <w:sz w:val="16"/>
              </w:rPr>
              <w:t xml:space="preserve"> clínico</w:t>
            </w:r>
          </w:p>
        </w:tc>
        <w:tc>
          <w:tcPr>
            <w:tcW w:w="1073" w:type="dxa"/>
            <w:shd w:val="clear" w:color="auto" w:fill="F3F3F3"/>
            <w:vAlign w:val="center"/>
          </w:tcPr>
          <w:p w14:paraId="429B0BC9" w14:textId="77777777" w:rsidR="005105B6" w:rsidRPr="00BF0402" w:rsidRDefault="005105B6" w:rsidP="005105B6">
            <w:pPr>
              <w:tabs>
                <w:tab w:val="left" w:pos="540"/>
              </w:tabs>
              <w:spacing w:line="240" w:lineRule="auto"/>
              <w:contextualSpacing/>
              <w:jc w:val="center"/>
              <w:rPr>
                <w:rFonts w:cs="Arial"/>
                <w:sz w:val="16"/>
                <w:szCs w:val="16"/>
              </w:rPr>
            </w:pPr>
          </w:p>
        </w:tc>
        <w:tc>
          <w:tcPr>
            <w:tcW w:w="1053" w:type="dxa"/>
            <w:shd w:val="clear" w:color="auto" w:fill="D9D9D9"/>
            <w:vAlign w:val="center"/>
          </w:tcPr>
          <w:p w14:paraId="511FEAAC" w14:textId="77777777" w:rsidR="005105B6" w:rsidRPr="00BF0402" w:rsidRDefault="005105B6" w:rsidP="005105B6">
            <w:pPr>
              <w:tabs>
                <w:tab w:val="left" w:pos="540"/>
              </w:tabs>
              <w:spacing w:line="240" w:lineRule="auto"/>
              <w:contextualSpacing/>
              <w:jc w:val="center"/>
              <w:rPr>
                <w:rFonts w:cs="Arial"/>
                <w:sz w:val="16"/>
                <w:szCs w:val="16"/>
              </w:rPr>
            </w:pPr>
          </w:p>
        </w:tc>
        <w:tc>
          <w:tcPr>
            <w:tcW w:w="1093" w:type="dxa"/>
            <w:shd w:val="clear" w:color="auto" w:fill="F2F2F2"/>
            <w:vAlign w:val="center"/>
          </w:tcPr>
          <w:p w14:paraId="507A9B5B"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D9D9D9"/>
            <w:vAlign w:val="center"/>
          </w:tcPr>
          <w:p w14:paraId="0AA6C7DB" w14:textId="77777777" w:rsidR="005105B6" w:rsidRPr="00BF0402" w:rsidRDefault="005105B6" w:rsidP="005105B6">
            <w:pPr>
              <w:tabs>
                <w:tab w:val="left" w:pos="540"/>
              </w:tabs>
              <w:spacing w:line="240" w:lineRule="auto"/>
              <w:contextualSpacing/>
              <w:jc w:val="center"/>
              <w:rPr>
                <w:rFonts w:cs="Arial"/>
                <w:sz w:val="16"/>
                <w:szCs w:val="16"/>
              </w:rPr>
            </w:pPr>
          </w:p>
        </w:tc>
        <w:tc>
          <w:tcPr>
            <w:tcW w:w="1073" w:type="dxa"/>
            <w:shd w:val="clear" w:color="auto" w:fill="F2F2F2"/>
            <w:vAlign w:val="center"/>
          </w:tcPr>
          <w:p w14:paraId="3B4DCF36" w14:textId="77777777" w:rsidR="005105B6" w:rsidRPr="00BF0402" w:rsidRDefault="005105B6" w:rsidP="005105B6">
            <w:pPr>
              <w:tabs>
                <w:tab w:val="left" w:pos="540"/>
              </w:tabs>
              <w:spacing w:line="240" w:lineRule="auto"/>
              <w:contextualSpacing/>
              <w:jc w:val="center"/>
              <w:rPr>
                <w:rFonts w:cs="Arial"/>
                <w:sz w:val="16"/>
                <w:szCs w:val="16"/>
              </w:rPr>
            </w:pPr>
          </w:p>
        </w:tc>
        <w:tc>
          <w:tcPr>
            <w:tcW w:w="1074" w:type="dxa"/>
            <w:shd w:val="clear" w:color="auto" w:fill="D9D9D9"/>
            <w:vAlign w:val="center"/>
          </w:tcPr>
          <w:p w14:paraId="33131C5D" w14:textId="77777777" w:rsidR="005105B6" w:rsidRPr="00BF0402" w:rsidRDefault="005105B6" w:rsidP="005105B6">
            <w:pPr>
              <w:tabs>
                <w:tab w:val="left" w:pos="540"/>
              </w:tabs>
              <w:spacing w:line="240" w:lineRule="auto"/>
              <w:contextualSpacing/>
              <w:jc w:val="center"/>
              <w:rPr>
                <w:rFonts w:cs="Arial"/>
                <w:sz w:val="16"/>
                <w:szCs w:val="16"/>
              </w:rPr>
            </w:pPr>
            <w:r>
              <w:rPr>
                <w:sz w:val="16"/>
              </w:rPr>
              <w:t>x</w:t>
            </w:r>
          </w:p>
        </w:tc>
      </w:tr>
    </w:tbl>
    <w:p w14:paraId="085CE18D" w14:textId="77777777" w:rsidR="00BF0402" w:rsidRPr="00BF0402" w:rsidRDefault="00BF0402" w:rsidP="00BF0402"/>
    <w:p w14:paraId="6E45840F" w14:textId="77777777" w:rsidR="00BF0402" w:rsidRPr="00BF0402" w:rsidRDefault="00BF0402">
      <w:pPr>
        <w:spacing w:line="240" w:lineRule="auto"/>
      </w:pPr>
      <w:bookmarkStart w:id="24" w:name="_Toc331159154"/>
    </w:p>
    <w:p w14:paraId="7BE8293C" w14:textId="6024610A" w:rsidR="001535CD" w:rsidRPr="004F183E" w:rsidRDefault="001535CD" w:rsidP="005239E5">
      <w:pPr>
        <w:pStyle w:val="Heading1"/>
        <w:spacing w:before="0" w:after="0"/>
        <w:ind w:left="0" w:firstLine="0"/>
        <w:contextualSpacing/>
      </w:pPr>
      <w:bookmarkStart w:id="25" w:name="_Toc466030504"/>
      <w:bookmarkStart w:id="26" w:name="_Toc508183525"/>
      <w:r>
        <w:t>8.</w:t>
      </w:r>
      <w:r>
        <w:tab/>
        <w:t>CONSIDERAÇÕES ESTATÍSTICAS</w:t>
      </w:r>
      <w:bookmarkEnd w:id="24"/>
      <w:bookmarkEnd w:id="25"/>
      <w:bookmarkEnd w:id="26"/>
    </w:p>
    <w:p w14:paraId="1482D152" w14:textId="77777777" w:rsidR="001535CD" w:rsidRPr="008C7AAA" w:rsidRDefault="00B36656" w:rsidP="005239E5">
      <w:pPr>
        <w:pStyle w:val="Heading2"/>
        <w:spacing w:before="0" w:after="0"/>
        <w:contextualSpacing/>
      </w:pPr>
      <w:r w:rsidRPr="006152DF">
        <w:t>8.1 Cálculo do tamanho da amostra</w:t>
      </w:r>
    </w:p>
    <w:p w14:paraId="79A4E744" w14:textId="6EABB57D" w:rsidR="004668D2" w:rsidRDefault="00460643" w:rsidP="005239E5">
      <w:pPr>
        <w:contextualSpacing/>
        <w:jc w:val="both"/>
      </w:pPr>
      <w:r>
        <w:t xml:space="preserve">Para detectar uma redução absoluta de 5% (de 30% para 25%) no resultado primário de infecções pós-operatórias </w:t>
      </w:r>
      <w:r w:rsidR="007D76AC">
        <w:t xml:space="preserve">com </w:t>
      </w:r>
      <w:r>
        <w:t>até 30 dias (uma razão de risco de 0,83), com 80% de poder estatístico e um</w:t>
      </w:r>
      <w:r w:rsidR="007D76AC">
        <w:t>a</w:t>
      </w:r>
      <w:r>
        <w:t xml:space="preserve"> taxa </w:t>
      </w:r>
      <w:r w:rsidR="00E2414B">
        <w:t xml:space="preserve">global </w:t>
      </w:r>
      <w:r>
        <w:t xml:space="preserve">de erro </w:t>
      </w:r>
      <w:r w:rsidR="007D76AC">
        <w:t xml:space="preserve">tipo I </w:t>
      </w:r>
      <w:r>
        <w:t>de 5%, necessitamos 2.502 pacientes (1.251 por braço). Este tamanho de amostra também nos permitirá detectar uma redução absoluta no resultado primário de 6% (de 30% para 24%) com 92% de poder estatístico.</w:t>
      </w:r>
    </w:p>
    <w:p w14:paraId="4649098C" w14:textId="77777777" w:rsidR="00460643" w:rsidRDefault="00460643" w:rsidP="005239E5">
      <w:pPr>
        <w:contextualSpacing/>
        <w:jc w:val="both"/>
      </w:pPr>
    </w:p>
    <w:p w14:paraId="7B0024C9" w14:textId="77777777" w:rsidR="001535CD" w:rsidRDefault="001535CD" w:rsidP="005239E5">
      <w:pPr>
        <w:pStyle w:val="Heading2"/>
        <w:spacing w:before="0" w:after="0"/>
        <w:contextualSpacing/>
      </w:pPr>
      <w:r>
        <w:t>8.2 Análise estatística</w:t>
      </w:r>
    </w:p>
    <w:p w14:paraId="4F90268F" w14:textId="4C5E7C16" w:rsidR="00C96188" w:rsidRDefault="000F2921" w:rsidP="00C96188">
      <w:pPr>
        <w:contextualSpacing/>
        <w:jc w:val="both"/>
      </w:pPr>
      <w:r>
        <w:t>As análises serão realizadas segundo o princípio de "intenção de tratar"; todos os pacientes com um resultado registrado serão incluídos na análise e analisados segundo o</w:t>
      </w:r>
      <w:r w:rsidR="00867BC4">
        <w:t xml:space="preserve"> tratamento que receberam aleato</w:t>
      </w:r>
      <w:r>
        <w:t xml:space="preserve">riamente </w:t>
      </w:r>
      <w:r w:rsidR="00966C85">
        <w:fldChar w:fldCharType="begin"/>
      </w:r>
      <w:r w:rsidR="00553CDA">
        <w:instrText xml:space="preserve"> ADDIN EN.CITE &lt;EndNote&gt;&lt;Cite&gt;&lt;Author&gt;White&lt;/Author&gt;&lt;Year&gt;2011&lt;/Year&gt;&lt;RecNum&gt;355&lt;/RecNum&gt;&lt;DisplayText&gt;(13)&lt;/DisplayText&gt;&lt;record&gt;&lt;rec-number&gt;355&lt;/rec-number&gt;&lt;foreign-keys&gt;&lt;key app="EN" db-id="evs5prtate0zfle9fd6p5v5j595s2pfez5ae" timestamp="1475938613"&gt;355&lt;/key&gt;&lt;/foreign-keys&gt;&lt;ref-type name="Journal Article"&gt;17&lt;/ref-type&gt;&lt;contributors&gt;&lt;authors&gt;&lt;author&gt;White, I. R.&lt;/author&gt;&lt;author&gt;Horton, N. J.&lt;/author&gt;&lt;author&gt;Carpenter, J.&lt;/author&gt;&lt;author&gt;Pocock, S. J.&lt;/author&gt;&lt;/authors&gt;&lt;/contributors&gt;&lt;auth-address&gt;MRC Biostatistics Unit, Cambridge CB2 0SR, UK. ian.white@mrc-bsu.cam.ac.uk&lt;/auth-address&gt;&lt;titles&gt;&lt;title&gt;Strategy for intention to treat analysis in randomised trials with missing outcome data&lt;/title&gt;&lt;secondary-title&gt;BMJ&lt;/secondary-title&gt;&lt;/titles&gt;&lt;periodical&gt;&lt;full-title&gt;BMJ&lt;/full-title&gt;&lt;abbr-1&gt;Bmj&lt;/abbr-1&gt;&lt;/periodical&gt;&lt;pages&gt;d40&lt;/pages&gt;&lt;volume&gt;342&lt;/volume&gt;&lt;keywords&gt;&lt;keyword&gt;Humans&lt;/keyword&gt;&lt;keyword&gt;Intention to Treat Analysis/*methods&lt;/keyword&gt;&lt;keyword&gt;Randomized Controlled Trials as Topic/*methods&lt;/keyword&gt;&lt;keyword&gt;Sensitivity and Specificity&lt;/keyword&gt;&lt;keyword&gt;Treatment Outcome&lt;/keyword&gt;&lt;/keywords&gt;&lt;dates&gt;&lt;year&gt;2011&lt;/year&gt;&lt;/dates&gt;&lt;isbn&gt;1756-1833 (Electronic)&amp;#xD;0959-535X (Linking)&lt;/isbn&gt;&lt;accession-num&gt;21300711&lt;/accession-num&gt;&lt;urls&gt;&lt;related-urls&gt;&lt;url&gt;https://www.ncbi.nlm.nih.gov/pubmed/21300711&lt;/url&gt;&lt;/related-urls&gt;&lt;/urls&gt;&lt;custom2&gt;PMC3230114&lt;/custom2&gt;&lt;electronic-resource-num&gt;10.1136/bmj.d40&lt;/electronic-resource-num&gt;&lt;/record&gt;&lt;/Cite&gt;&lt;/EndNote&gt;</w:instrText>
      </w:r>
      <w:r w:rsidR="00966C85">
        <w:fldChar w:fldCharType="separate"/>
      </w:r>
      <w:r w:rsidR="00553CDA">
        <w:rPr>
          <w:noProof/>
        </w:rPr>
        <w:t>(</w:t>
      </w:r>
      <w:hyperlink w:anchor="_ENREF_13" w:tooltip="White, 2011 #355" w:history="1">
        <w:r w:rsidR="00553CDA">
          <w:rPr>
            <w:noProof/>
          </w:rPr>
          <w:t>13</w:t>
        </w:r>
      </w:hyperlink>
      <w:r w:rsidR="00553CDA">
        <w:rPr>
          <w:noProof/>
        </w:rPr>
        <w:t>)</w:t>
      </w:r>
      <w:r w:rsidR="00966C85">
        <w:fldChar w:fldCharType="end"/>
      </w:r>
      <w:r>
        <w:t>. Um resumo estatístico por grupo, efeitos do tratamento, intervalos de confiança de 95% e valores-</w:t>
      </w:r>
      <w:r>
        <w:rPr>
          <w:i/>
        </w:rPr>
        <w:t>p</w:t>
      </w:r>
      <w:r>
        <w:t xml:space="preserve"> serão apresentados para os resultados primários e secundários</w:t>
      </w:r>
      <w:r w:rsidR="007C45A9">
        <w:t>,</w:t>
      </w:r>
      <w:r>
        <w:t xml:space="preserve"> e as determinações do processo. Os dados iniciais e todos os demais dados de </w:t>
      </w:r>
      <w:r w:rsidR="00E43DDD">
        <w:t>seguimento</w:t>
      </w:r>
      <w:r>
        <w:t xml:space="preserve"> para os 2</w:t>
      </w:r>
      <w:r w:rsidR="00C15FCE">
        <w:t> </w:t>
      </w:r>
      <w:r>
        <w:t>grupos serão resumidos por grupo de tratamento, mas não serão sujeitos a testes estatísticos.</w:t>
      </w:r>
    </w:p>
    <w:p w14:paraId="68241962" w14:textId="77777777" w:rsidR="00C96188" w:rsidRDefault="00C96188" w:rsidP="00C96188">
      <w:pPr>
        <w:contextualSpacing/>
        <w:jc w:val="both"/>
      </w:pPr>
    </w:p>
    <w:p w14:paraId="4BEEB1D9" w14:textId="5FCB459C" w:rsidR="00F75457" w:rsidRPr="004618FA" w:rsidRDefault="000F2921" w:rsidP="00C96188">
      <w:pPr>
        <w:contextualSpacing/>
        <w:jc w:val="both"/>
      </w:pPr>
      <w:r>
        <w:t xml:space="preserve">O resultado primário de uma infecção pós-operatória dentro de 30 dias </w:t>
      </w:r>
      <w:r w:rsidR="008E65AE">
        <w:t xml:space="preserve">após </w:t>
      </w:r>
      <w:r>
        <w:t xml:space="preserve">a randomização será analisado usando um modelo de regressão logística </w:t>
      </w:r>
      <w:r w:rsidR="00AE7627">
        <w:t>de efeito</w:t>
      </w:r>
      <w:r w:rsidR="00436AC1">
        <w:t>s</w:t>
      </w:r>
      <w:r w:rsidR="00AE7627">
        <w:t xml:space="preserve"> misto</w:t>
      </w:r>
      <w:r w:rsidR="00436AC1">
        <w:t>s</w:t>
      </w:r>
      <w:r w:rsidR="00AE7627">
        <w:t xml:space="preserve"> </w:t>
      </w:r>
      <w:r>
        <w:t>com interceptação aleatória por país</w:t>
      </w:r>
      <w:r>
        <w:rPr>
          <w:color w:val="000000"/>
        </w:rPr>
        <w:t xml:space="preserve"> </w:t>
      </w:r>
      <w:r w:rsidR="00966C85">
        <w:rPr>
          <w:rFonts w:cs="Arial"/>
          <w:bCs/>
          <w:color w:val="000000"/>
          <w:szCs w:val="22"/>
        </w:rPr>
        <w:fldChar w:fldCharType="begin"/>
      </w:r>
      <w:r w:rsidR="00553CDA">
        <w:rPr>
          <w:rFonts w:cs="Arial"/>
          <w:bCs/>
          <w:color w:val="000000"/>
          <w:szCs w:val="22"/>
        </w:rPr>
        <w:instrText xml:space="preserve"> ADDIN EN.CITE &lt;EndNote&gt;&lt;Cite&gt;&lt;Author&gt;Kahan&lt;/Author&gt;&lt;Year&gt;2014&lt;/Year&gt;&lt;RecNum&gt;356&lt;/RecNum&gt;&lt;DisplayText&gt;(14)&lt;/DisplayText&gt;&lt;record&gt;&lt;rec-number&gt;356&lt;/rec-number&gt;&lt;foreign-keys&gt;&lt;key app="EN" db-id="evs5prtate0zfle9fd6p5v5j595s2pfez5ae" timestamp="1475938671"&gt;356&lt;/key&gt;&lt;/foreign-keys&gt;&lt;ref-type name="Journal Article"&gt;17&lt;/ref-type&gt;&lt;contributors&gt;&lt;authors&gt;&lt;author&gt;Kahan, B. C.&lt;/author&gt;&lt;/authors&gt;&lt;/contributors&gt;&lt;auth-address&gt;Pragmatic Clinical Trials Unit, Queen Mary University of London, 58 Turner Street, London E1 2AB, UK. b.kahan@qmul.ac.uk.&lt;/auth-address&gt;&lt;titles&gt;&lt;title&gt;Accounting for centre-effects in multicentre trials with a binary outcome - when, why, and how?&lt;/title&gt;&lt;secondary-title&gt;BMC Med Res Methodol&lt;/secondary-title&gt;&lt;/titles&gt;&lt;periodical&gt;&lt;full-title&gt;BMC Med Res Methodol&lt;/full-title&gt;&lt;/periodical&gt;&lt;pages&gt;20&lt;/pages&gt;&lt;volume&gt;14&lt;/volume&gt;&lt;keywords&gt;&lt;keyword&gt;Bacterial Infections/*drug therapy&lt;/keyword&gt;&lt;keyword&gt;Computer Simulation&lt;/keyword&gt;&lt;keyword&gt;Data Interpretation, Statistical&lt;/keyword&gt;&lt;keyword&gt;Deoxyribonucleases/*therapeutic use&lt;/keyword&gt;&lt;keyword&gt;Humans&lt;/keyword&gt;&lt;keyword&gt;Models, Statistical&lt;/keyword&gt;&lt;keyword&gt;Multicenter Studies as Topic/*methods&lt;/keyword&gt;&lt;keyword&gt;Pleura/microbiology&lt;/keyword&gt;&lt;keyword&gt;Randomized Controlled Trials as Topic/*methods&lt;/keyword&gt;&lt;keyword&gt;Research Design&lt;/keyword&gt;&lt;keyword&gt;Tissue Plasminogen Activator/*therapeutic use&lt;/keyword&gt;&lt;/keywords&gt;&lt;dates&gt;&lt;year&gt;2014&lt;/year&gt;&lt;/dates&gt;&lt;isbn&gt;1471-2288 (Electronic)&amp;#xD;1471-2288 (Linking)&lt;/isbn&gt;&lt;accession-num&gt;24512175&lt;/accession-num&gt;&lt;urls&gt;&lt;related-urls&gt;&lt;url&gt;https://www.ncbi.nlm.nih.gov/pubmed/24512175&lt;/url&gt;&lt;/related-urls&gt;&lt;/urls&gt;&lt;custom2&gt;PMC3923100&lt;/custom2&gt;&lt;electronic-resource-num&gt;10.1186/1471-2288-14-20&lt;/electronic-resource-num&gt;&lt;/record&gt;&lt;/Cite&gt;&lt;/EndNote&gt;</w:instrText>
      </w:r>
      <w:r w:rsidR="00966C85">
        <w:rPr>
          <w:rFonts w:cs="Arial"/>
          <w:bCs/>
          <w:color w:val="000000"/>
          <w:szCs w:val="22"/>
        </w:rPr>
        <w:fldChar w:fldCharType="separate"/>
      </w:r>
      <w:r w:rsidR="00553CDA">
        <w:rPr>
          <w:rFonts w:cs="Arial"/>
          <w:bCs/>
          <w:noProof/>
          <w:color w:val="000000"/>
          <w:szCs w:val="22"/>
        </w:rPr>
        <w:t>(</w:t>
      </w:r>
      <w:hyperlink w:anchor="_ENREF_14" w:tooltip="Kahan, 2014 #356" w:history="1">
        <w:r w:rsidR="00553CDA">
          <w:rPr>
            <w:rFonts w:cs="Arial"/>
            <w:bCs/>
            <w:noProof/>
            <w:color w:val="000000"/>
            <w:szCs w:val="22"/>
          </w:rPr>
          <w:t>14</w:t>
        </w:r>
      </w:hyperlink>
      <w:r w:rsidR="00553CDA">
        <w:rPr>
          <w:rFonts w:cs="Arial"/>
          <w:bCs/>
          <w:noProof/>
          <w:color w:val="000000"/>
          <w:szCs w:val="22"/>
        </w:rPr>
        <w:t>)</w:t>
      </w:r>
      <w:r w:rsidR="00966C85">
        <w:rPr>
          <w:rFonts w:cs="Arial"/>
          <w:bCs/>
          <w:color w:val="000000"/>
          <w:szCs w:val="22"/>
        </w:rPr>
        <w:fldChar w:fldCharType="end"/>
      </w:r>
      <w:r>
        <w:t>. O modelo será ajustado por categoria de procedimento cirúrgico, idade</w:t>
      </w:r>
      <w:r w:rsidR="00436AC1">
        <w:t>,</w:t>
      </w:r>
      <w:r>
        <w:t xml:space="preserve"> sexo, grau </w:t>
      </w:r>
      <w:r w:rsidR="00E36054">
        <w:t xml:space="preserve">da </w:t>
      </w:r>
      <w:r>
        <w:t>ASA e valor basal de hemoglobina e creatinina.</w:t>
      </w:r>
      <w:r>
        <w:rPr>
          <w:color w:val="000000"/>
        </w:rPr>
        <w:t xml:space="preserve"> </w:t>
      </w:r>
      <w:r>
        <w:t xml:space="preserve">O grau </w:t>
      </w:r>
      <w:r w:rsidR="00E36054">
        <w:t xml:space="preserve">da </w:t>
      </w:r>
      <w:r>
        <w:t xml:space="preserve">ASA e a categoria de procedimento serão incluídos como variáveis categóricas. As categorias dos graus </w:t>
      </w:r>
      <w:r w:rsidR="00791286">
        <w:t xml:space="preserve">da </w:t>
      </w:r>
      <w:r>
        <w:t xml:space="preserve">ASA são II, III e IV. As categorias de procedimento cirúrgico são: (a) ressecção de cólon, reto ou intestino delgado; (b) ressecção de pâncreas e intestino; (c) ressecção do estômago (cirurgia não relacionada à obesidade); (d) ressecção do esôfago (cirurgia não relacionada à obesidade); (e) cirurgia de obesidade; (f) outra cirurgia envolvendo ressecção intestinal. A idade e os valores basais de hemoglobina e creatinina serão ajustados usando splines cúbicos restritos com três nós e locais de nós baseados nas recomendações de Harrell </w:t>
      </w:r>
      <w:r w:rsidR="00966C85">
        <w:rPr>
          <w:rFonts w:cs="Arial"/>
          <w:bCs/>
          <w:color w:val="000000"/>
          <w:szCs w:val="22"/>
        </w:rPr>
        <w:fldChar w:fldCharType="begin">
          <w:fldData xml:space="preserve">PEVuZE5vdGU+PENpdGU+PEF1dGhvcj5LYWhhbjwvQXV0aG9yPjxZZWFyPjIwMTY8L1llYXI+PFJl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</w:fldData>
        </w:fldChar>
      </w:r>
      <w:r w:rsidR="00553CDA">
        <w:rPr>
          <w:rFonts w:cs="Arial"/>
          <w:bCs/>
          <w:color w:val="000000"/>
          <w:szCs w:val="22"/>
        </w:rPr>
        <w:instrText xml:space="preserve"> ADDIN EN.CITE </w:instrText>
      </w:r>
      <w:r w:rsidR="00966C85">
        <w:rPr>
          <w:rFonts w:cs="Arial"/>
          <w:bCs/>
          <w:color w:val="000000"/>
          <w:szCs w:val="22"/>
        </w:rPr>
        <w:fldChar w:fldCharType="begin">
          <w:fldData xml:space="preserve">PEVuZE5vdGU+PENpdGU+PEF1dGhvcj5LYWhhbjwvQXV0aG9yPjxZZWFyPjIwMTY8L1llYXI+PFJl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</w:fldData>
        </w:fldChar>
      </w:r>
      <w:r w:rsidR="00553CDA">
        <w:rPr>
          <w:rFonts w:cs="Arial"/>
          <w:bCs/>
          <w:color w:val="000000"/>
          <w:szCs w:val="22"/>
        </w:rPr>
        <w:instrText xml:space="preserve"> ADDIN EN.CITE.DATA </w:instrText>
      </w:r>
      <w:r w:rsidR="00966C85">
        <w:rPr>
          <w:rFonts w:cs="Arial"/>
          <w:bCs/>
          <w:color w:val="000000"/>
          <w:szCs w:val="22"/>
        </w:rPr>
      </w:r>
      <w:r w:rsidR="00966C85">
        <w:rPr>
          <w:rFonts w:cs="Arial"/>
          <w:bCs/>
          <w:color w:val="000000"/>
          <w:szCs w:val="22"/>
        </w:rPr>
        <w:fldChar w:fldCharType="end"/>
      </w:r>
      <w:r w:rsidR="00966C85">
        <w:rPr>
          <w:rFonts w:cs="Arial"/>
          <w:bCs/>
          <w:color w:val="000000"/>
          <w:szCs w:val="22"/>
        </w:rPr>
      </w:r>
      <w:r w:rsidR="00966C85">
        <w:rPr>
          <w:rFonts w:cs="Arial"/>
          <w:bCs/>
          <w:color w:val="000000"/>
          <w:szCs w:val="22"/>
        </w:rPr>
        <w:fldChar w:fldCharType="separate"/>
      </w:r>
      <w:r w:rsidR="00553CDA">
        <w:rPr>
          <w:rFonts w:cs="Arial"/>
          <w:bCs/>
          <w:noProof/>
          <w:color w:val="000000"/>
          <w:szCs w:val="22"/>
        </w:rPr>
        <w:t>(</w:t>
      </w:r>
      <w:hyperlink w:anchor="_ENREF_15" w:tooltip="Kahan, 2016 #358" w:history="1">
        <w:r w:rsidR="00553CDA">
          <w:rPr>
            <w:rFonts w:cs="Arial"/>
            <w:bCs/>
            <w:noProof/>
            <w:color w:val="000000"/>
            <w:szCs w:val="22"/>
          </w:rPr>
          <w:t>15</w:t>
        </w:r>
      </w:hyperlink>
      <w:r w:rsidR="00553CDA">
        <w:rPr>
          <w:rFonts w:cs="Arial"/>
          <w:bCs/>
          <w:noProof/>
          <w:color w:val="000000"/>
          <w:szCs w:val="22"/>
        </w:rPr>
        <w:t xml:space="preserve">, </w:t>
      </w:r>
      <w:hyperlink w:anchor="_ENREF_16" w:tooltip="Harrell, 2001 #86" w:history="1">
        <w:r w:rsidR="00553CDA">
          <w:rPr>
            <w:rFonts w:cs="Arial"/>
            <w:bCs/>
            <w:noProof/>
            <w:color w:val="000000"/>
            <w:szCs w:val="22"/>
          </w:rPr>
          <w:t>16</w:t>
        </w:r>
      </w:hyperlink>
      <w:r w:rsidR="00553CDA">
        <w:rPr>
          <w:rFonts w:cs="Arial"/>
          <w:bCs/>
          <w:noProof/>
          <w:color w:val="000000"/>
          <w:szCs w:val="22"/>
        </w:rPr>
        <w:t>)</w:t>
      </w:r>
      <w:r w:rsidR="00966C85">
        <w:rPr>
          <w:rFonts w:cs="Arial"/>
          <w:bCs/>
          <w:color w:val="000000"/>
          <w:szCs w:val="22"/>
        </w:rPr>
        <w:fldChar w:fldCharType="end"/>
      </w:r>
      <w:r>
        <w:t>.</w:t>
      </w:r>
      <w:r>
        <w:rPr>
          <w:color w:val="000000"/>
        </w:rPr>
        <w:t xml:space="preserve"> A falta de dados iniciais será computada usando imputação média </w:t>
      </w:r>
      <w:r w:rsidR="00966C85">
        <w:rPr>
          <w:rFonts w:cs="Arial"/>
          <w:bCs/>
          <w:color w:val="000000"/>
          <w:szCs w:val="22"/>
        </w:rPr>
        <w:fldChar w:fldCharType="begin"/>
      </w:r>
      <w:r w:rsidR="00553CDA">
        <w:rPr>
          <w:rFonts w:cs="Arial"/>
          <w:bCs/>
          <w:color w:val="000000"/>
          <w:szCs w:val="22"/>
        </w:rPr>
        <w:instrText xml:space="preserve"> ADDIN EN.CITE &lt;EndNote&gt;&lt;Cite&gt;&lt;Author&gt;White&lt;/Author&gt;&lt;Year&gt;2005&lt;/Year&gt;&lt;RecNum&gt;361&lt;/RecNum&gt;&lt;DisplayText&gt;(17)&lt;/DisplayText&gt;&lt;record&gt;&lt;rec-number&gt;361&lt;/rec-number&gt;&lt;foreign-keys&gt;&lt;key app="EN" db-id="evs5prtate0zfle9fd6p5v5j595s2pfez5ae" timestamp="1475938898"&gt;361&lt;/key&gt;&lt;/foreign-keys&gt;&lt;ref-type name="Journal Article"&gt;17&lt;/ref-type&gt;&lt;contributors&gt;&lt;authors&gt;&lt;author&gt;White, I. R.&lt;/author&gt;&lt;author&gt;Thompson, S. G.&lt;/author&gt;&lt;/authors&gt;&lt;/contributors&gt;&lt;auth-address&gt;MRC Biostatistics Unit, Institute of Public Health, Robinson Way, Cambridge CB2 2SR, U.K. ian.white@mrc-bsu.cam.ac.uk&lt;/auth-address&gt;&lt;titles&gt;&lt;title&gt;Adjusting for partially missing baseline measurements in randomized trials&lt;/title&gt;&lt;secondary-title&gt;Stat Med&lt;/secondary-title&gt;&lt;/titles&gt;&lt;periodical&gt;&lt;full-title&gt;Stat Med&lt;/full-title&gt;&lt;/periodical&gt;&lt;pages&gt;993-1007&lt;/pages&gt;&lt;volume&gt;24&lt;/volume&gt;&lt;number&gt;7&lt;/number&gt;&lt;keywords&gt;&lt;keyword&gt;*Data Interpretation, Statistical&lt;/keyword&gt;&lt;keyword&gt;Humans&lt;/keyword&gt;&lt;keyword&gt;*Models, Statistical&lt;/keyword&gt;&lt;keyword&gt;Patient Satisfaction&lt;/keyword&gt;&lt;keyword&gt;Psychotic Disorders/therapy&lt;/keyword&gt;&lt;keyword&gt;Randomized Controlled Trials as Topic/*methods&lt;/keyword&gt;&lt;keyword&gt;Sample Size&lt;/keyword&gt;&lt;/keywords&gt;&lt;dates&gt;&lt;year&gt;2005&lt;/year&gt;&lt;pub-dates&gt;&lt;date&gt;Apr 15&lt;/date&gt;&lt;/pub-dates&gt;&lt;/dates&gt;&lt;isbn&gt;0277-6715 (Print)&amp;#xD;0277-6715 (Linking)&lt;/isbn&gt;&lt;accession-num&gt;15570623&lt;/accession-num&gt;&lt;urls&gt;&lt;related-urls&gt;&lt;url&gt;https://www.ncbi.nlm.nih.gov/pubmed/15570623&lt;/url&gt;&lt;/related-urls&gt;&lt;/urls&gt;&lt;electronic-resource-num&gt;10.1002/sim.1981&lt;/electronic-resource-num&gt;&lt;/record&gt;&lt;/Cite&gt;&lt;/EndNote&gt;</w:instrText>
      </w:r>
      <w:r w:rsidR="00966C85">
        <w:rPr>
          <w:rFonts w:cs="Arial"/>
          <w:bCs/>
          <w:color w:val="000000"/>
          <w:szCs w:val="22"/>
        </w:rPr>
        <w:fldChar w:fldCharType="separate"/>
      </w:r>
      <w:r w:rsidR="00553CDA">
        <w:rPr>
          <w:rFonts w:cs="Arial"/>
          <w:bCs/>
          <w:noProof/>
          <w:color w:val="000000"/>
          <w:szCs w:val="22"/>
        </w:rPr>
        <w:t>(</w:t>
      </w:r>
      <w:hyperlink w:anchor="_ENREF_17" w:tooltip="White, 2005 #361" w:history="1">
        <w:r w:rsidR="00553CDA">
          <w:rPr>
            <w:rFonts w:cs="Arial"/>
            <w:bCs/>
            <w:noProof/>
            <w:color w:val="000000"/>
            <w:szCs w:val="22"/>
          </w:rPr>
          <w:t>17</w:t>
        </w:r>
      </w:hyperlink>
      <w:r w:rsidR="00553CDA">
        <w:rPr>
          <w:rFonts w:cs="Arial"/>
          <w:bCs/>
          <w:noProof/>
          <w:color w:val="000000"/>
          <w:szCs w:val="22"/>
        </w:rPr>
        <w:t>)</w:t>
      </w:r>
      <w:r w:rsidR="00966C85">
        <w:rPr>
          <w:rFonts w:cs="Arial"/>
          <w:bCs/>
          <w:color w:val="000000"/>
          <w:szCs w:val="22"/>
        </w:rPr>
        <w:fldChar w:fldCharType="end"/>
      </w:r>
      <w:r>
        <w:rPr>
          <w:color w:val="000000"/>
        </w:rPr>
        <w:t>. Valores-</w:t>
      </w:r>
      <w:r>
        <w:rPr>
          <w:i/>
          <w:color w:val="000000"/>
        </w:rPr>
        <w:t>p</w:t>
      </w:r>
      <w:r>
        <w:rPr>
          <w:color w:val="000000"/>
        </w:rPr>
        <w:t xml:space="preserve"> inferiores </w:t>
      </w:r>
      <w:r w:rsidR="00B5327E">
        <w:rPr>
          <w:color w:val="000000"/>
        </w:rPr>
        <w:t>a</w:t>
      </w:r>
      <w:r>
        <w:rPr>
          <w:color w:val="000000"/>
        </w:rPr>
        <w:t xml:space="preserve"> 0,05 serão considerados estatisticamente significativos. </w:t>
      </w:r>
      <w:r>
        <w:t xml:space="preserve">Um plano de análise estatística será redigido antes que a análise de dados seja feita e que qualquer membro da equipe do </w:t>
      </w:r>
      <w:r w:rsidR="00E43DDD">
        <w:t>estudo</w:t>
      </w:r>
      <w:r>
        <w:t xml:space="preserve"> clínico tenha acesso aos dados sem mascaramento.</w:t>
      </w:r>
    </w:p>
    <w:p w14:paraId="1F29A53B" w14:textId="77777777" w:rsidR="00BF0402" w:rsidRDefault="00BF0402" w:rsidP="005239E5">
      <w:pPr>
        <w:contextualSpacing/>
        <w:jc w:val="both"/>
      </w:pPr>
    </w:p>
    <w:p w14:paraId="1BB48248" w14:textId="77777777" w:rsidR="001535CD" w:rsidRPr="00452393" w:rsidRDefault="001535CD" w:rsidP="005239E5">
      <w:pPr>
        <w:pStyle w:val="Heading2"/>
        <w:spacing w:before="0" w:after="0"/>
        <w:contextualSpacing/>
      </w:pPr>
      <w:r>
        <w:t>8.3 Análises econômicas aplicadas à saúde</w:t>
      </w:r>
    </w:p>
    <w:p w14:paraId="76F6C052" w14:textId="6955524A" w:rsidR="00C4736B" w:rsidRDefault="00DA6862" w:rsidP="008F56A0">
      <w:pPr>
        <w:jc w:val="both"/>
        <w:rPr>
          <w:rFonts w:cs="Arial"/>
        </w:rPr>
      </w:pPr>
      <w:r>
        <w:t xml:space="preserve">A análise econômica aplicada à saúde irá comparar o custo incremental por anos de vida ajustados por qualidade de vida (QALY) da terapia hemodinâmica perioperatória guiada pelo débito cardíaco usada na prevenção da morbidade pós-operatória quando comparada com a prática usual. O custo da intervenção por paciente nos braços de intervenção e de tratamento habitual com cuidados padrão </w:t>
      </w:r>
      <w:r w:rsidR="00867BC4">
        <w:t>será avaliad</w:t>
      </w:r>
      <w:r w:rsidR="00B5327E">
        <w:t>o</w:t>
      </w:r>
      <w:r>
        <w:t xml:space="preserve"> segundo a perspectiva do NHS. Os custos e resultados serão avaliados ao longo do horizonte temporal de 180 dias do </w:t>
      </w:r>
      <w:r w:rsidR="00E43DDD">
        <w:t>estudo</w:t>
      </w:r>
      <w:r w:rsidR="00245868">
        <w:t xml:space="preserve"> clínico </w:t>
      </w:r>
      <w:r>
        <w:t>e nenhum desconto será aplicado por causa da curta duração do período de seguimento. A análise irá incluir o custo da intervenção além do custo dos recursos de saúde utilizados pelos pacientes durante o período de 180 dias. O custo do monitoramento de débito cardíaco no braço</w:t>
      </w:r>
      <w:r w:rsidR="00245868">
        <w:t xml:space="preserve"> de</w:t>
      </w:r>
      <w:r>
        <w:t xml:space="preserve"> intervenção será obtido nos centros do </w:t>
      </w:r>
      <w:r w:rsidR="00E43DDD">
        <w:t>estudo</w:t>
      </w:r>
      <w:r>
        <w:t xml:space="preserve"> clínico. Os dados sobre o tempo de permanência da internação inicial serão usados para estimar o custo do episódio inicial de internamento. O custo de reinternações hospitalares subsequentes durante o período de 180 dias será estimado usando os registros eletrônicos de saúde obtidos no banco de dados </w:t>
      </w:r>
      <w:r w:rsidR="008074AD">
        <w:rPr>
          <w:i/>
        </w:rPr>
        <w:t>NHS</w:t>
      </w:r>
      <w:r w:rsidR="00966C85" w:rsidRPr="00D91233">
        <w:rPr>
          <w:i/>
        </w:rPr>
        <w:t xml:space="preserve"> Digital</w:t>
      </w:r>
      <w:r>
        <w:t xml:space="preserve"> (</w:t>
      </w:r>
      <w:r w:rsidR="00966C85" w:rsidRPr="00D91233">
        <w:rPr>
          <w:i/>
        </w:rPr>
        <w:t>Hospital Episode Statistics</w:t>
      </w:r>
      <w:r>
        <w:t xml:space="preserve"> - HES) </w:t>
      </w:r>
      <w:r w:rsidR="00966C85">
        <w:rPr>
          <w:rFonts w:cs="Arial"/>
        </w:rPr>
        <w:fldChar w:fldCharType="begin"/>
      </w:r>
      <w:r w:rsidR="00553CDA">
        <w:rPr>
          <w:rFonts w:cs="Arial"/>
        </w:rPr>
        <w:instrText xml:space="preserve"> ADDIN EN.CITE &lt;EndNote&gt;&lt;Cite&gt;&lt;Author&gt;NHS Digital&lt;/Author&gt;&lt;RecNum&gt;1&lt;/RecNum&gt;&lt;DisplayText&gt;(18)&lt;/DisplayText&gt;&lt;record&gt;&lt;rec-number&gt;1&lt;/rec-number&gt;&lt;foreign-keys&gt;&lt;key app="EN" db-id="fxwrf0x5p2s5piezxrjvze92f5900drsz2zt" timestamp="1474631217"&gt;1&lt;/key&gt;&lt;/foreign-keys&gt;&lt;ref-type name="Web Page"&gt;12&lt;/ref-type&gt;&lt;contributors&gt;&lt;authors&gt;&lt;author&gt;NHS Digital,&lt;/author&gt;&lt;/authors&gt;&lt;/contributors&gt;&lt;titles&gt;&lt;title&gt;Hospital Episode Statistics&lt;/title&gt;&lt;/titles&gt;&lt;number&gt;23/09/2016&lt;/number&gt;&lt;dates&gt;&lt;/dates&gt;&lt;urls&gt;&lt;related-urls&gt;&lt;url&gt;http://digital.nhs.uk/hes&lt;/url&gt;&lt;/related-urls&gt;&lt;/urls&gt;&lt;/record&gt;&lt;/Cite&gt;&lt;/EndNote&gt;</w:instrText>
      </w:r>
      <w:r w:rsidR="00966C85">
        <w:rPr>
          <w:rFonts w:cs="Arial"/>
        </w:rPr>
        <w:fldChar w:fldCharType="separate"/>
      </w:r>
      <w:r w:rsidR="00553CDA">
        <w:rPr>
          <w:rFonts w:cs="Arial"/>
          <w:noProof/>
        </w:rPr>
        <w:t>(</w:t>
      </w:r>
      <w:hyperlink w:anchor="_ENREF_18" w:tooltip="NHS Digital,  #1" w:history="1">
        <w:r w:rsidR="00553CDA">
          <w:rPr>
            <w:rFonts w:cs="Arial"/>
            <w:noProof/>
          </w:rPr>
          <w:t>18</w:t>
        </w:r>
      </w:hyperlink>
      <w:r w:rsidR="00553CDA">
        <w:rPr>
          <w:rFonts w:cs="Arial"/>
          <w:noProof/>
        </w:rPr>
        <w:t>)</w:t>
      </w:r>
      <w:r w:rsidR="00966C85">
        <w:rPr>
          <w:rFonts w:cs="Arial"/>
        </w:rPr>
        <w:fldChar w:fldCharType="end"/>
      </w:r>
      <w:r>
        <w:t xml:space="preserve">. Os dados obtidos nos centros do </w:t>
      </w:r>
      <w:r w:rsidR="00E43DDD">
        <w:t>estudo</w:t>
      </w:r>
      <w:r>
        <w:t xml:space="preserve"> clínico e no HES, incluindo os códigos de casuística clínica (HRG e OPCS-4) e o tempo de permanência, serão combinados com </w:t>
      </w:r>
      <w:r w:rsidR="007145CD">
        <w:t xml:space="preserve">a tabela de </w:t>
      </w:r>
      <w:r>
        <w:t>custos de referência do NHS do Reino Unido</w:t>
      </w:r>
      <w:r w:rsidR="00472E27">
        <w:t xml:space="preserve"> (</w:t>
      </w:r>
      <w:r w:rsidR="00472E27" w:rsidRPr="00C01388">
        <w:rPr>
          <w:i/>
        </w:rPr>
        <w:t>NHS Reference Costs</w:t>
      </w:r>
      <w:r>
        <w:t xml:space="preserve">) para </w:t>
      </w:r>
      <w:r w:rsidR="007145CD">
        <w:t>hospitalizações,</w:t>
      </w:r>
      <w:r>
        <w:t xml:space="preserve"> </w:t>
      </w:r>
      <w:r w:rsidR="007014EF">
        <w:t>a fim de</w:t>
      </w:r>
      <w:r>
        <w:t xml:space="preserve"> estimar o custo por episódio </w:t>
      </w:r>
      <w:r w:rsidR="00966C85">
        <w:rPr>
          <w:rFonts w:cs="Arial"/>
        </w:rPr>
        <w:fldChar w:fldCharType="begin"/>
      </w:r>
      <w:r w:rsidR="00553CDA">
        <w:rPr>
          <w:rFonts w:cs="Arial"/>
        </w:rPr>
        <w:instrText xml:space="preserve"> ADDIN EN.CITE &lt;EndNote&gt;&lt;Cite&gt;&lt;Author&gt;Department of Health&lt;/Author&gt;&lt;Year&gt;2015&lt;/Year&gt;&lt;RecNum&gt;1&lt;/RecNum&gt;&lt;DisplayText&gt;(19)&lt;/DisplayText&gt;&lt;record&gt;&lt;rec-number&gt;1&lt;/rec-number&gt;&lt;foreign-keys&gt;&lt;key app="EN" db-id="f55eppvwfpf9f8e00dpx0dpqszxzs5r509e5" timestamp="1466180798"&gt;1&lt;/key&gt;&lt;/foreign-keys&gt;&lt;ref-type name="Web Page"&gt;12&lt;/ref-type&gt;&lt;contributors&gt;&lt;authors&gt;&lt;author&gt;Department of Health,&lt;/author&gt;&lt;/authors&gt;&lt;/contributors&gt;&lt;titles&gt;&lt;title&gt;NHS reference costs 2014 to 2015&lt;/title&gt;&lt;/titles&gt;&lt;number&gt;[Accessed on 16/02/2016&lt;/number&gt;&lt;dates&gt;&lt;year&gt;2015&lt;/year&gt;&lt;/dates&gt;&lt;urls&gt;&lt;related-urls&gt;&lt;url&gt;https://www.gov.uk/government/publications/nhs-reference-costs-2014-to-2015&lt;/url&gt;&lt;/related-urls&gt;&lt;/urls&gt;&lt;/record&gt;&lt;/Cite&gt;&lt;/EndNote&gt;</w:instrText>
      </w:r>
      <w:r w:rsidR="00966C85">
        <w:rPr>
          <w:rFonts w:cs="Arial"/>
        </w:rPr>
        <w:fldChar w:fldCharType="separate"/>
      </w:r>
      <w:r w:rsidR="00553CDA">
        <w:rPr>
          <w:rFonts w:cs="Arial"/>
          <w:noProof/>
        </w:rPr>
        <w:t>(</w:t>
      </w:r>
      <w:hyperlink w:anchor="_ENREF_19" w:tooltip="Department of Health, 2015 #1" w:history="1">
        <w:r w:rsidR="00553CDA">
          <w:rPr>
            <w:rFonts w:cs="Arial"/>
            <w:noProof/>
          </w:rPr>
          <w:t>19</w:t>
        </w:r>
      </w:hyperlink>
      <w:r w:rsidR="00553CDA">
        <w:rPr>
          <w:rFonts w:cs="Arial"/>
          <w:noProof/>
        </w:rPr>
        <w:t>)</w:t>
      </w:r>
      <w:r w:rsidR="00966C85">
        <w:rPr>
          <w:rFonts w:cs="Arial"/>
        </w:rPr>
        <w:fldChar w:fldCharType="end"/>
      </w:r>
      <w:r>
        <w:t xml:space="preserve">. Os internamentos na UTI serão estimados com base no nível de cuidados recebidos usando a tabela </w:t>
      </w:r>
      <w:r w:rsidR="007145CD">
        <w:t xml:space="preserve">de </w:t>
      </w:r>
      <w:r>
        <w:t>custos de referência do NHS do Reino Unido</w:t>
      </w:r>
      <w:r w:rsidR="007145CD">
        <w:t xml:space="preserve"> (</w:t>
      </w:r>
      <w:r w:rsidR="007145CD" w:rsidRPr="00C01388">
        <w:rPr>
          <w:i/>
        </w:rPr>
        <w:t>NHS Reference Costs</w:t>
      </w:r>
      <w:r>
        <w:t xml:space="preserve">) para os cuidados intensivos ministrados a adultos. Os resultados </w:t>
      </w:r>
      <w:r w:rsidR="00A35811">
        <w:t xml:space="preserve">obtidos </w:t>
      </w:r>
      <w:r>
        <w:t xml:space="preserve">na análise de custo-efetividade serão avaliados com base nos ganhos QALY usando a pontuação autorreferida </w:t>
      </w:r>
      <w:r w:rsidR="0096090C">
        <w:t>na</w:t>
      </w:r>
      <w:r>
        <w:t xml:space="preserve"> </w:t>
      </w:r>
      <w:r w:rsidR="00867BC4" w:rsidRPr="00867BC4">
        <w:t xml:space="preserve">Escala de qualidade de vida EuroQol-5 </w:t>
      </w:r>
      <w:r w:rsidR="0096090C">
        <w:t>(</w:t>
      </w:r>
      <w:r>
        <w:t>EQ-5D-3L</w:t>
      </w:r>
      <w:r w:rsidR="0096090C">
        <w:t>)</w:t>
      </w:r>
      <w:r>
        <w:t xml:space="preserve"> computada na coleta dos dados iniciais, aos 30 e aos 180</w:t>
      </w:r>
      <w:r w:rsidR="00751F3D">
        <w:t> </w:t>
      </w:r>
      <w:r>
        <w:t>dias</w:t>
      </w:r>
      <w:r w:rsidR="00A35811">
        <w:t>,</w:t>
      </w:r>
      <w:r>
        <w:t xml:space="preserve"> em combinação com os valores de utilidade da população do Reino Unido </w:t>
      </w:r>
      <w:r w:rsidR="00966C85">
        <w:rPr>
          <w:rFonts w:cs="Arial"/>
        </w:rPr>
        <w:fldChar w:fldCharType="begin"/>
      </w:r>
      <w:r w:rsidR="00553CDA">
        <w:rPr>
          <w:rFonts w:cs="Arial"/>
        </w:rPr>
        <w:instrText xml:space="preserve"> ADDIN EN.CITE &lt;EndNote&gt;&lt;Cite&gt;&lt;Author&gt;Dolan&lt;/Author&gt;&lt;Year&gt;1997&lt;/Year&gt;&lt;RecNum&gt;2&lt;/RecNum&gt;&lt;DisplayText&gt;(20)&lt;/DisplayText&gt;&lt;record&gt;&lt;rec-number&gt;2&lt;/rec-number&gt;&lt;foreign-keys&gt;&lt;key app="EN" db-id="fxwrf0x5p2s5piezxrjvze92f5900drsz2zt" timestamp="1474631749"&gt;2&lt;/key&gt;&lt;/foreign-keys&gt;&lt;ref-type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Care&lt;/secondary-title&gt;&lt;/titles&gt;&lt;periodical&gt;&lt;full-title&gt;Med Care&lt;/full-title&gt;&lt;/periodical&gt;&lt;pages&gt;1095-108&lt;/pages&gt;&lt;volume&gt;35&lt;/volume&gt;&lt;number&gt;11&lt;/number&gt;&lt;keywords&gt;&lt;keyword&gt;Activities of Daily Living&lt;/keyword&gt;&lt;keyword&gt;Adult&lt;/keyword&gt;&lt;keyword&gt;Comorbidity&lt;/keyword&gt;&lt;keyword&gt;Forms and Records Control/statistics &amp;amp; numerical data&lt;/keyword&gt;&lt;keyword&gt;Great Britain&lt;/keyword&gt;&lt;keyword&gt;Health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Index&lt;/keyword&gt;&lt;keyword&gt;Unconsciousness/diagnosis/epidemiology&lt;/keyword&gt;&lt;/keywords&gt;&lt;dates&gt;&lt;year&gt;1997&lt;/year&gt;&lt;pub-dates&gt;&lt;date&gt;Nov&lt;/date&gt;&lt;/pub-dates&gt;&lt;/dates&gt;&lt;isbn&gt;0025-7079 (Print)&amp;#xD;0025-7079 (Linking)&lt;/isbn&gt;&lt;accession-num&gt;9366889&lt;/accession-num&gt;&lt;urls&gt;&lt;related-urls&gt;&lt;url&gt;http://www.ncbi.nlm.nih.gov/pubmed/9366889&lt;/url&gt;&lt;/related-urls&gt;&lt;/urls&gt;&lt;/record&gt;&lt;/Cite&gt;&lt;/EndNote&gt;</w:instrText>
      </w:r>
      <w:r w:rsidR="00966C85">
        <w:rPr>
          <w:rFonts w:cs="Arial"/>
        </w:rPr>
        <w:fldChar w:fldCharType="separate"/>
      </w:r>
      <w:r w:rsidR="00553CDA">
        <w:rPr>
          <w:rFonts w:cs="Arial"/>
          <w:noProof/>
        </w:rPr>
        <w:t>(</w:t>
      </w:r>
      <w:hyperlink w:anchor="_ENREF_20" w:tooltip="Dolan, 1997 #2" w:history="1">
        <w:r w:rsidR="00553CDA">
          <w:rPr>
            <w:rFonts w:cs="Arial"/>
            <w:noProof/>
          </w:rPr>
          <w:t>20</w:t>
        </w:r>
      </w:hyperlink>
      <w:r w:rsidR="00553CDA">
        <w:rPr>
          <w:rFonts w:cs="Arial"/>
          <w:noProof/>
        </w:rPr>
        <w:t>)</w:t>
      </w:r>
      <w:r w:rsidR="00966C85">
        <w:rPr>
          <w:rFonts w:cs="Arial"/>
        </w:rPr>
        <w:fldChar w:fldCharType="end"/>
      </w:r>
      <w:r>
        <w:t xml:space="preserve">. Os ganhos QALYs serão calculados usando a abordagem área sob a curva (AUC), levando em consideração a duração do tempo de sobrevivência durante o período de </w:t>
      </w:r>
      <w:r w:rsidR="00E43DDD">
        <w:t>seguimento</w:t>
      </w:r>
      <w:r>
        <w:t xml:space="preserve"> calculado usando os dados de mortalidade vinculados do ONS. Uma avaliação dos dados </w:t>
      </w:r>
      <w:r w:rsidR="008F6056">
        <w:t xml:space="preserve">ausentes </w:t>
      </w:r>
      <w:r>
        <w:t xml:space="preserve">será realizada com os dados de custo original e resultado. A abordagem para a manipulação dos dados </w:t>
      </w:r>
      <w:r w:rsidR="008F6056">
        <w:t xml:space="preserve">ausentes </w:t>
      </w:r>
      <w:r>
        <w:t xml:space="preserve">dependerá se os dados estão </w:t>
      </w:r>
      <w:r w:rsidR="002000EA">
        <w:t xml:space="preserve">ausentes </w:t>
      </w:r>
      <w:r>
        <w:t xml:space="preserve">por causa de um seguimento incompleto ou por censura das informações. Serão aplicadas técnicas estatísticas adequadas para completar os campos </w:t>
      </w:r>
      <w:r w:rsidR="008F6056">
        <w:t xml:space="preserve">ausentes </w:t>
      </w:r>
      <w:r>
        <w:t xml:space="preserve">onde </w:t>
      </w:r>
      <w:r w:rsidR="0096090C">
        <w:t>se supõe</w:t>
      </w:r>
      <w:r>
        <w:t xml:space="preserve"> que os dados estejam ausentes por </w:t>
      </w:r>
      <w:r w:rsidR="00B54CFE">
        <w:t>perdas ao acaso</w:t>
      </w:r>
      <w:r>
        <w:t xml:space="preserve"> (</w:t>
      </w:r>
      <w:r w:rsidR="00966C85" w:rsidRPr="00D91233">
        <w:rPr>
          <w:i/>
        </w:rPr>
        <w:t>missing at random</w:t>
      </w:r>
      <w:r w:rsidR="00B54CFE">
        <w:t xml:space="preserve"> - </w:t>
      </w:r>
      <w:r>
        <w:t xml:space="preserve">MAR). A estratégia para </w:t>
      </w:r>
      <w:r w:rsidR="0096090C">
        <w:t xml:space="preserve">manipulação dos dados </w:t>
      </w:r>
      <w:r w:rsidR="008F6056">
        <w:t>ausentes</w:t>
      </w:r>
      <w:r w:rsidR="0096090C">
        <w:t xml:space="preserve"> </w:t>
      </w:r>
      <w:r>
        <w:t>na análise econômica será pré-especificada no plano da análise econômica aplicada à saúde antes da obtenção do conjunto de dados.</w:t>
      </w:r>
    </w:p>
    <w:p w14:paraId="733D0485" w14:textId="77777777" w:rsidR="00753AEA" w:rsidRDefault="00753AEA" w:rsidP="008F56A0">
      <w:pPr>
        <w:jc w:val="both"/>
        <w:rPr>
          <w:rFonts w:cs="Arial"/>
        </w:rPr>
      </w:pPr>
    </w:p>
    <w:p w14:paraId="06E3508A" w14:textId="77777777" w:rsidR="00AC6161" w:rsidRDefault="00B07E7C" w:rsidP="008F56A0">
      <w:pPr>
        <w:jc w:val="both"/>
        <w:rPr>
          <w:rFonts w:cs="Arial"/>
        </w:rPr>
      </w:pPr>
      <w:r>
        <w:t xml:space="preserve">A análise avaliará o custo adicional por QALY ganho no braço </w:t>
      </w:r>
      <w:r w:rsidR="006368D0">
        <w:t xml:space="preserve">de </w:t>
      </w:r>
      <w:r>
        <w:t xml:space="preserve">intervenção comparado ao tratamento habitual com cuidados padrão usando a </w:t>
      </w:r>
      <w:r w:rsidR="005669B6">
        <w:t>razão incremental de custo-efetividade</w:t>
      </w:r>
      <w:r>
        <w:t xml:space="preserve"> (ICER). Apesar da atribuição aleatória ao grupo de tratamento ter sido desenhada para eliminar as diferenças sistemáticas nas características dos pacientes entre os grupos, as diferenças de probabilidade nas covariáveis iniciais podem ter um impacto nos desfechos da análise econômica. O ajuste da covariável inicial será realizado ajustando os modelos de regressão para o custo médio e os QALYs obtidos por paciente </w:t>
      </w:r>
      <w:r w:rsidR="00966C85">
        <w:rPr>
          <w:rFonts w:cs="Arial"/>
        </w:rPr>
        <w:fldChar w:fldCharType="begin"/>
      </w:r>
      <w:r w:rsidR="00553CDA">
        <w:rPr>
          <w:rFonts w:cs="Arial"/>
        </w:rPr>
        <w:instrText xml:space="preserve"> ADDIN EN.CITE &lt;EndNote&gt;&lt;Cite&gt;&lt;Author&gt;Willan&lt;/Author&gt;&lt;Year&gt;2006&lt;/Year&gt;&lt;RecNum&gt;3&lt;/RecNum&gt;&lt;DisplayText&gt;(21)&lt;/DisplayText&gt;&lt;record&gt;&lt;rec-number&gt;3&lt;/rec-number&gt;&lt;foreign-keys&gt;&lt;key app="EN" db-id="fxwrf0x5p2s5piezxrjvze92f5900drsz2zt" timestamp="1474631876"&gt;3&lt;/key&gt;&lt;/foreign-keys&gt;&lt;ref-type name="Journal Article"&gt;17&lt;/ref-type&gt;&lt;contributors&gt;&lt;authors&gt;&lt;author&gt;Willan, A. R.&lt;/author&gt;&lt;/authors&gt;&lt;/contributors&gt;&lt;auth-address&gt;SickKids Research Institute, Population Health Sciences, 555 University Avenue, Toronto, Ontario M5G 1X8, Canada. andy@andywillan.com.&lt;/auth-address&gt;&lt;titles&gt;&lt;title&gt;Statistical analysis of cost-effectiveness data from randomized clinical trials&lt;/title&gt;&lt;secondary-title&gt;Expert Rev Pharmacoecon Outcomes Res&lt;/secondary-title&gt;&lt;/titles&gt;&lt;periodical&gt;&lt;full-title&gt;Expert Rev Pharmacoecon Outcomes Res&lt;/full-title&gt;&lt;/periodical&gt;&lt;pages&gt;337-46&lt;/pages&gt;&lt;volume&gt;6&lt;/volume&gt;&lt;number&gt;3&lt;/number&gt;&lt;dates&gt;&lt;year&gt;2006&lt;/year&gt;&lt;pub-dates&gt;&lt;date&gt;Jun&lt;/date&gt;&lt;/pub-dates&gt;&lt;/dates&gt;&lt;isbn&gt;1744-8379 (Electronic)&amp;#xD;1473-7167 (Linking)&lt;/isbn&gt;&lt;accession-num&gt;20528526&lt;/accession-num&gt;&lt;urls&gt;&lt;related-urls&gt;&lt;url&gt;http://www.ncbi.nlm.nih.gov/pubmed/20528526&lt;/url&gt;&lt;/related-urls&gt;&lt;/urls&gt;&lt;electronic-resource-num&gt;10.1586/14737167.6.3.337&lt;/electronic-resource-num&gt;&lt;/record&gt;&lt;/Cite&gt;&lt;/EndNote&gt;</w:instrText>
      </w:r>
      <w:r w:rsidR="00966C85">
        <w:rPr>
          <w:rFonts w:cs="Arial"/>
        </w:rPr>
        <w:fldChar w:fldCharType="separate"/>
      </w:r>
      <w:r w:rsidR="00553CDA">
        <w:rPr>
          <w:rFonts w:cs="Arial"/>
          <w:noProof/>
        </w:rPr>
        <w:t>(</w:t>
      </w:r>
      <w:hyperlink w:anchor="_ENREF_21" w:tooltip="Willan, 2006 #3" w:history="1">
        <w:r w:rsidR="00553CDA">
          <w:rPr>
            <w:rFonts w:cs="Arial"/>
            <w:noProof/>
          </w:rPr>
          <w:t>21</w:t>
        </w:r>
      </w:hyperlink>
      <w:r w:rsidR="00553CDA">
        <w:rPr>
          <w:rFonts w:cs="Arial"/>
          <w:noProof/>
        </w:rPr>
        <w:t>)</w:t>
      </w:r>
      <w:r w:rsidR="00966C85">
        <w:rPr>
          <w:rFonts w:cs="Arial"/>
        </w:rPr>
        <w:fldChar w:fldCharType="end"/>
      </w:r>
      <w:r>
        <w:t>. Será usado um modelo linear generalizado com uma ligação logarítmica e uma distribuição gama para controlar o viés positivo na estimativa do custo médio</w:t>
      </w:r>
      <w:r w:rsidR="005669B6">
        <w:t>,</w:t>
      </w:r>
      <w:r>
        <w:t xml:space="preserve"> e será usada a regressão multivariada linear para estimar os QALYs médios obtidos aos 180 dias de seguimento. O custo e os ganhos QALY serão modelados como uma função da atribuição do tratamento (como uma variável fictícia), idade, sexo, custo básico </w:t>
      </w:r>
      <w:r w:rsidR="005669B6">
        <w:t xml:space="preserve">inicial </w:t>
      </w:r>
      <w:r>
        <w:t xml:space="preserve">de cuidados secundários baseados em episódios de hospitalização nos 3 meses anteriores à intervenção obtidos </w:t>
      </w:r>
      <w:r w:rsidR="005669B6">
        <w:t xml:space="preserve">a partir </w:t>
      </w:r>
      <w:r>
        <w:t xml:space="preserve">do HES, da pontuação EQ-5D-3L inicial, do grau </w:t>
      </w:r>
      <w:r w:rsidR="005669B6">
        <w:t xml:space="preserve">da </w:t>
      </w:r>
      <w:r>
        <w:t xml:space="preserve">ASA e das </w:t>
      </w:r>
      <w:r w:rsidR="005669B6">
        <w:t xml:space="preserve">medidas </w:t>
      </w:r>
      <w:r>
        <w:t xml:space="preserve">iniciais de hemoglobina e creatinina. O custo incremental e os resultados ajustados para as diferenças iniciais nas covariáveis entre os braços do </w:t>
      </w:r>
      <w:r w:rsidR="00E43DDD">
        <w:t>estudo</w:t>
      </w:r>
      <w:r>
        <w:t xml:space="preserve"> clínico correspondem ao coeficiente da variável fictícia do tratamento nos modelos de regressão.</w:t>
      </w:r>
    </w:p>
    <w:p w14:paraId="5995791A" w14:textId="77777777" w:rsidR="00AC6161" w:rsidRDefault="00AC6161" w:rsidP="001A4BA3">
      <w:pPr>
        <w:rPr>
          <w:rFonts w:cs="Arial"/>
        </w:rPr>
      </w:pPr>
    </w:p>
    <w:p w14:paraId="5653B269" w14:textId="77777777" w:rsidR="001A4BA3" w:rsidRDefault="006074A8" w:rsidP="008F56A0">
      <w:pPr>
        <w:jc w:val="both"/>
        <w:rPr>
          <w:rFonts w:cs="Arial"/>
        </w:rPr>
      </w:pPr>
      <w:r>
        <w:t>A estimativa de um intervalo de confiança para a estatística ICER pode ser problemática pelos seguintes motivos: i) as diferenças no QALY entre os braços de tratamento tendem a ser muito pequenas, o que significa que o denominador na razão pode ser zero ou muito próximo de zero, leva</w:t>
      </w:r>
      <w:r w:rsidR="005D3EB2">
        <w:t>ndo</w:t>
      </w:r>
      <w:r>
        <w:t xml:space="preserve"> </w:t>
      </w:r>
      <w:r w:rsidR="005D3EB2">
        <w:t>o ICER par</w:t>
      </w:r>
      <w:r>
        <w:t>a um valor indefinido; ii) altos níveis de viés devido a uma tendência de valores atípicos e zero nos dados de custos ao nível do paciente; iii) não é possível supor que os custos e os resultado</w:t>
      </w:r>
      <w:r w:rsidR="0096090C">
        <w:t xml:space="preserve">s não estejam correlacionados. </w:t>
      </w:r>
      <w:r>
        <w:t>A reamostragem (</w:t>
      </w:r>
      <w:r>
        <w:rPr>
          <w:i/>
        </w:rPr>
        <w:t>bootstrapping</w:t>
      </w:r>
      <w:r>
        <w:t xml:space="preserve">) não paramétrica com substituição baseada nos dados observados é um método aceito para estimar os intervalos de confiança para o ICER </w:t>
      </w:r>
      <w:r w:rsidR="00966C85">
        <w:rPr>
          <w:rFonts w:cs="Arial"/>
        </w:rPr>
        <w:fldChar w:fldCharType="begin"/>
      </w:r>
      <w:r w:rsidR="00553CDA">
        <w:rPr>
          <w:rFonts w:cs="Arial"/>
        </w:rPr>
        <w:instrText xml:space="preserve"> ADDIN EN.CITE &lt;EndNote&gt;&lt;Cite&gt;&lt;Author&gt;Briggs&lt;/Author&gt;&lt;Year&gt;1999&lt;/Year&gt;&lt;RecNum&gt;4&lt;/RecNum&gt;&lt;DisplayText&gt;(22)&lt;/DisplayText&gt;&lt;record&gt;&lt;rec-number&gt;4&lt;/rec-number&gt;&lt;foreign-keys&gt;&lt;key app="EN" db-id="fxwrf0x5p2s5piezxrjvze92f5900drsz2zt" timestamp="1474631960"&gt;4&lt;/key&gt;&lt;/foreign-keys&gt;&lt;ref-type name="Journal Article"&gt;17&lt;/ref-type&gt;&lt;contributors&gt;&lt;authors&gt;&lt;author&gt;Briggs, A. H.&lt;/author&gt;&lt;author&gt;Gray, A. M.&lt;/author&gt;&lt;/authors&gt;&lt;/contributors&gt;&lt;auth-address&gt;Health Economics Research Centre, Institute of Health Sciences, University of Oxford, UK.&lt;/auth-address&gt;&lt;titles&gt;&lt;title&gt;Handling uncertainty when performing economic evaluation of healthcare interventions&lt;/title&gt;&lt;secondary-title&gt;Health Technol Assess&lt;/secondary-title&gt;&lt;/titles&gt;&lt;periodical&gt;&lt;full-title&gt;Health Technol Assess&lt;/full-title&gt;&lt;/periodical&gt;&lt;pages&gt;1-134&lt;/pages&gt;&lt;volume&gt;3&lt;/volume&gt;&lt;number&gt;2&lt;/number&gt;&lt;keywords&gt;&lt;keyword&gt;Confidence Intervals&lt;/keyword&gt;&lt;keyword&gt;Cost-Benefit Analysis/statistics &amp;amp; numerical data&lt;/keyword&gt;&lt;keyword&gt;Costs and Cost Analysis/statistics &amp;amp; numerical data&lt;/keyword&gt;&lt;keyword&gt;Health Care Costs/*statistics &amp;amp; numerical data&lt;/keyword&gt;&lt;keyword&gt;Humans&lt;/keyword&gt;&lt;keyword&gt;*Models, Economic&lt;/keyword&gt;&lt;keyword&gt;Outcome Assessment (Health Care)/economics/statistics &amp;amp; numerical data&lt;/keyword&gt;&lt;keyword&gt;Patient Care/*economics&lt;/keyword&gt;&lt;keyword&gt;Probability&lt;/keyword&gt;&lt;keyword&gt;Quality-Adjusted Life Years&lt;/keyword&gt;&lt;keyword&gt;Retrospective Studies&lt;/keyword&gt;&lt;keyword&gt;Sensitivity and Specificity&lt;/keyword&gt;&lt;keyword&gt;Stochastic Processes&lt;/keyword&gt;&lt;/keywords&gt;&lt;dates&gt;&lt;year&gt;1999&lt;/year&gt;&lt;/dates&gt;&lt;isbn&gt;1366-5278 (Print)&amp;#xD;1366-5278 (Linking)&lt;/isbn&gt;&lt;accession-num&gt;10448202&lt;/accession-num&gt;&lt;urls&gt;&lt;related-urls&gt;&lt;url&gt;http://www.ncbi.nlm.nih.gov/pubmed/10448202&lt;/url&gt;&lt;/related-urls&gt;&lt;/urls&gt;&lt;/record&gt;&lt;/Cite&gt;&lt;/EndNote&gt;</w:instrText>
      </w:r>
      <w:r w:rsidR="00966C85">
        <w:rPr>
          <w:rFonts w:cs="Arial"/>
        </w:rPr>
        <w:fldChar w:fldCharType="separate"/>
      </w:r>
      <w:r w:rsidR="00553CDA">
        <w:rPr>
          <w:rFonts w:cs="Arial"/>
          <w:noProof/>
        </w:rPr>
        <w:t>(</w:t>
      </w:r>
      <w:hyperlink w:anchor="_ENREF_22" w:tooltip="Briggs, 1999 #4" w:history="1">
        <w:r w:rsidR="00553CDA">
          <w:rPr>
            <w:rFonts w:cs="Arial"/>
            <w:noProof/>
          </w:rPr>
          <w:t>22</w:t>
        </w:r>
      </w:hyperlink>
      <w:r w:rsidR="00553CDA">
        <w:rPr>
          <w:rFonts w:cs="Arial"/>
          <w:noProof/>
        </w:rPr>
        <w:t>)</w:t>
      </w:r>
      <w:r w:rsidR="00966C85">
        <w:rPr>
          <w:rFonts w:cs="Arial"/>
        </w:rPr>
        <w:fldChar w:fldCharType="end"/>
      </w:r>
      <w:r>
        <w:t xml:space="preserve">. O processo de reamostragem será realizado com 5.000 iterações baseadas nos dados originais dos custos e resultados utilizando o Stata/IC para alcançar estabilidade nas estimativas de intervalos. Os modelos de regressão serão ajustados para os desequilíbrios de covariantes em cada reamostragem. Em seguida, serão utilizadas as estimativas ajustadas dos custos incrementais e dos resultados para calcular </w:t>
      </w:r>
      <w:r w:rsidR="00995038">
        <w:t xml:space="preserve">a média e </w:t>
      </w:r>
      <w:r>
        <w:t>o intervalo de confiança de 95% para o ICER. A distribuição das estimativas incrementais será traçada em um plano de custo-efetividade. Uma curva de aceitabilidade da relação de custo-efetividade (CEAC) irá traçar a probabilidade de custo-efetividade da intervenção como uma função dos valores da disposição de pagar (</w:t>
      </w:r>
      <w:r>
        <w:rPr>
          <w:i/>
        </w:rPr>
        <w:t>willingness-to-pay</w:t>
      </w:r>
      <w:r>
        <w:t xml:space="preserve">) por QALY adicional obtido para situar a intervenção no contexto dos níveis aceitáveis atuais da disposição de pagar </w:t>
      </w:r>
      <w:r w:rsidR="00B5327E">
        <w:t xml:space="preserve">por </w:t>
      </w:r>
      <w:r>
        <w:t xml:space="preserve">novas tecnologias </w:t>
      </w:r>
      <w:r w:rsidR="006F7855">
        <w:t>de saúde</w:t>
      </w:r>
      <w:r>
        <w:t xml:space="preserve"> segundo o </w:t>
      </w:r>
      <w:r w:rsidR="00966C85" w:rsidRPr="00D91233">
        <w:rPr>
          <w:i/>
        </w:rPr>
        <w:t>National Institute for Health and Care Excellence</w:t>
      </w:r>
      <w:r>
        <w:t xml:space="preserve"> (NICE). </w:t>
      </w:r>
      <w:r w:rsidR="00966C85">
        <w:rPr>
          <w:rFonts w:cs="Arial"/>
        </w:rPr>
        <w:fldChar w:fldCharType="begin"/>
      </w:r>
      <w:r w:rsidR="00553CDA">
        <w:rPr>
          <w:rFonts w:cs="Arial"/>
        </w:rPr>
        <w:instrText xml:space="preserve"> ADDIN EN.CITE &lt;EndNote&gt;&lt;Cite&gt;&lt;Author&gt;McCabe&lt;/Author&gt;&lt;Year&gt;2008&lt;/Year&gt;&lt;RecNum&gt;5&lt;/RecNum&gt;&lt;DisplayText&gt;(23)&lt;/DisplayText&gt;&lt;record&gt;&lt;rec-number&gt;5&lt;/rec-number&gt;&lt;foreign-keys&gt;&lt;key app="EN" db-id="fxwrf0x5p2s5piezxrjvze92f5900drsz2zt" timestamp="1474632055"&gt;5&lt;/key&gt;&lt;/foreign-keys&gt;&lt;ref-type name="Journal Article"&gt;17&lt;/ref-type&gt;&lt;contributors&gt;&lt;authors&gt;&lt;author&gt;McCabe, C.&lt;/author&gt;&lt;author&gt;Claxton, K.&lt;/author&gt;&lt;author&gt;Culyer, A. J.&lt;/author&gt;&lt;/authors&gt;&lt;/contributors&gt;&lt;auth-address&gt;Academic Unit of Health Economics and NICE Decision Support Unit, Leeds Institute of Health Sciences, University of Leeds, Leeds, UK. c.mccabe@leeds.ac.uk&lt;/auth-address&gt;&lt;titles&gt;&lt;title&gt;The NICE cost-effectiveness threshold: what it is and what that means&lt;/title&gt;&lt;secondary-title&gt;Pharmacoeconomics&lt;/secondary-title&gt;&lt;/titles&gt;&lt;periodical&gt;&lt;full-title&gt;Pharmacoeconomics&lt;/full-title&gt;&lt;/periodical&gt;&lt;pages&gt;733-44&lt;/pages&gt;&lt;volume&gt;26&lt;/volume&gt;&lt;number&gt;9&lt;/number&gt;&lt;keywords&gt;&lt;keyword&gt;Academies and Institutes/*economics&lt;/keyword&gt;&lt;keyword&gt;Cost-Benefit Analysis/*methods/statistics &amp;amp; numerical data&lt;/keyword&gt;&lt;keyword&gt;Decision Making, Organizational&lt;/keyword&gt;&lt;keyword&gt;Great Britain&lt;/keyword&gt;&lt;keyword&gt;Humans&lt;/keyword&gt;&lt;keyword&gt;Quality-Adjusted Life Years&lt;/keyword&gt;&lt;keyword&gt;State Medicine/*economics&lt;/keyword&gt;&lt;/keywords&gt;&lt;dates&gt;&lt;year&gt;2008&lt;/year&gt;&lt;/dates&gt;&lt;isbn&gt;1170-7690 (Print)&amp;#xD;1170-7690 (Linking)&lt;/isbn&gt;&lt;accession-num&gt;18767894&lt;/accession-num&gt;&lt;urls&gt;&lt;related-urls&gt;&lt;url&gt;http://www.ncbi.nlm.nih.gov/pubmed/18767894&lt;/url&gt;&lt;/related-urls&gt;&lt;/urls&gt;&lt;/record&gt;&lt;/Cite&gt;&lt;/EndNote&gt;</w:instrText>
      </w:r>
      <w:r w:rsidR="00966C85">
        <w:rPr>
          <w:rFonts w:cs="Arial"/>
        </w:rPr>
        <w:fldChar w:fldCharType="separate"/>
      </w:r>
      <w:r w:rsidR="00553CDA">
        <w:rPr>
          <w:rFonts w:cs="Arial"/>
          <w:noProof/>
        </w:rPr>
        <w:t>(</w:t>
      </w:r>
      <w:hyperlink w:anchor="_ENREF_23" w:tooltip="McCabe, 2008 #5" w:history="1">
        <w:r w:rsidR="00553CDA">
          <w:rPr>
            <w:rFonts w:cs="Arial"/>
            <w:noProof/>
          </w:rPr>
          <w:t>23</w:t>
        </w:r>
      </w:hyperlink>
      <w:r w:rsidR="00553CDA">
        <w:rPr>
          <w:rFonts w:cs="Arial"/>
          <w:noProof/>
        </w:rPr>
        <w:t>)</w:t>
      </w:r>
      <w:r w:rsidR="00966C85">
        <w:rPr>
          <w:rFonts w:cs="Arial"/>
        </w:rPr>
        <w:fldChar w:fldCharType="end"/>
      </w:r>
      <w:r>
        <w:t>.</w:t>
      </w:r>
    </w:p>
    <w:p w14:paraId="63F0496C" w14:textId="77777777" w:rsidR="00FC7BAB" w:rsidRDefault="00FC7BAB" w:rsidP="006C5787"/>
    <w:p w14:paraId="143DA7ED" w14:textId="77777777" w:rsidR="001535CD" w:rsidRPr="008F2CEF" w:rsidRDefault="001535CD" w:rsidP="005239E5">
      <w:pPr>
        <w:pStyle w:val="Heading2"/>
        <w:spacing w:before="0" w:after="0"/>
        <w:contextualSpacing/>
      </w:pPr>
      <w:r>
        <w:t>8.4 Estudos secundários</w:t>
      </w:r>
    </w:p>
    <w:p w14:paraId="1C5FF3F6" w14:textId="77777777" w:rsidR="001535CD" w:rsidRDefault="000F2921" w:rsidP="005239E5">
      <w:pPr>
        <w:autoSpaceDE w:val="0"/>
        <w:autoSpaceDN w:val="0"/>
        <w:adjustRightInd w:val="0"/>
        <w:contextualSpacing/>
        <w:jc w:val="both"/>
        <w:rPr>
          <w:rFonts w:cs="Arial"/>
          <w:bCs/>
          <w:color w:val="000000"/>
          <w:szCs w:val="22"/>
        </w:rPr>
      </w:pPr>
      <w:r>
        <w:t xml:space="preserve">Os dados do </w:t>
      </w:r>
      <w:r w:rsidR="00E43DDD">
        <w:t>estudo</w:t>
      </w:r>
      <w:r>
        <w:t xml:space="preserve"> clínico OPTIMISE II serão utilizados em estudos secundários diretamente relacionados ao objetivo central do </w:t>
      </w:r>
      <w:r w:rsidR="00E43DDD">
        <w:t>estudo</w:t>
      </w:r>
      <w:r>
        <w:t xml:space="preserve"> clínico, incluindo a análise econômica aplicada à saúde. </w:t>
      </w:r>
      <w:r>
        <w:rPr>
          <w:color w:val="000000"/>
        </w:rPr>
        <w:t>Um plano de análise estatística prospectiva será preparado para cada estudo secundário antes da análise dos dados.</w:t>
      </w:r>
    </w:p>
    <w:p w14:paraId="281ED513" w14:textId="77777777" w:rsidR="008A50DB" w:rsidRPr="00002599" w:rsidRDefault="008A50DB" w:rsidP="005239E5">
      <w:pPr>
        <w:tabs>
          <w:tab w:val="left" w:pos="540"/>
        </w:tabs>
        <w:contextualSpacing/>
        <w:rPr>
          <w:rFonts w:cs="Arial"/>
          <w:i/>
          <w:szCs w:val="22"/>
        </w:rPr>
      </w:pPr>
    </w:p>
    <w:p w14:paraId="41E0EFED" w14:textId="0942CA03" w:rsidR="001535CD" w:rsidRDefault="001535CD" w:rsidP="005239E5">
      <w:pPr>
        <w:pStyle w:val="Heading1"/>
        <w:spacing w:before="0" w:after="0"/>
        <w:contextualSpacing/>
      </w:pPr>
      <w:bookmarkStart w:id="27" w:name="_Toc331159155"/>
      <w:bookmarkStart w:id="28" w:name="_Toc466030505"/>
      <w:bookmarkStart w:id="29" w:name="_Toc508183526"/>
      <w:r>
        <w:t>9.</w:t>
      </w:r>
      <w:r>
        <w:tab/>
        <w:t>ÉTICA DA PESQUISA</w:t>
      </w:r>
      <w:bookmarkEnd w:id="27"/>
      <w:bookmarkEnd w:id="28"/>
      <w:bookmarkEnd w:id="29"/>
    </w:p>
    <w:p w14:paraId="6D612F83" w14:textId="77777777" w:rsidR="001535CD" w:rsidRDefault="001535CD" w:rsidP="005239E5">
      <w:pPr>
        <w:widowControl w:val="0"/>
        <w:autoSpaceDE w:val="0"/>
        <w:autoSpaceDN w:val="0"/>
        <w:adjustRightInd w:val="0"/>
        <w:contextualSpacing/>
        <w:jc w:val="both"/>
        <w:rPr>
          <w:rFonts w:cs="Arial"/>
          <w:color w:val="000000"/>
          <w:szCs w:val="22"/>
        </w:rPr>
      </w:pPr>
      <w:r>
        <w:t xml:space="preserve">O IP irá garantir que este </w:t>
      </w:r>
      <w:r w:rsidR="00E43DDD">
        <w:t>estudo</w:t>
      </w:r>
      <w:r>
        <w:t xml:space="preserve"> clínico será realizado em conformidade com os Princípios da Declaração de Helsinque e suas alterações </w:t>
      </w:r>
      <w:r w:rsidR="003236D9">
        <w:t xml:space="preserve">estabelecidas </w:t>
      </w:r>
      <w:r>
        <w:t>em Tóquio (1975), Veneza (1983), Hong Kong (1</w:t>
      </w:r>
      <w:r w:rsidR="0096090C">
        <w:t>989), África do Sul (1996), Edim</w:t>
      </w:r>
      <w:r>
        <w:t xml:space="preserve">burgo (2000), Washington DC (2002), Tóquio (2004), Seul (2008) e Fortaleza (2013) conforme descrito no seguinte </w:t>
      </w:r>
      <w:r w:rsidR="003236D9">
        <w:t>web</w:t>
      </w:r>
      <w:r>
        <w:t xml:space="preserve">site: </w:t>
      </w:r>
      <w:r>
        <w:rPr>
          <w:color w:val="0000FF"/>
        </w:rPr>
        <w:t>http://www.wma.net/en/30publications/10policies/b3/index.html</w:t>
      </w:r>
      <w:r>
        <w:t xml:space="preserve">. O </w:t>
      </w:r>
      <w:r w:rsidR="00E43DDD">
        <w:t>estudo</w:t>
      </w:r>
      <w:r>
        <w:t xml:space="preserve"> clínico estará em total conformidade com os princípios descritos nas diretrizes de Boas Práticas Clínicas (GCP) e nas diretrizes ICH Tripartite (Janeiro de 1997). </w:t>
      </w:r>
      <w:r>
        <w:rPr>
          <w:color w:val="000000"/>
        </w:rPr>
        <w:t xml:space="preserve">O estudo será realizado em conformidade com o </w:t>
      </w:r>
      <w:r w:rsidR="00966C85" w:rsidRPr="00D91233">
        <w:rPr>
          <w:i/>
          <w:color w:val="000000"/>
        </w:rPr>
        <w:t>Research Governance Framework for Health and Social Care</w:t>
      </w:r>
      <w:r>
        <w:rPr>
          <w:color w:val="000000"/>
        </w:rPr>
        <w:t xml:space="preserve"> (2</w:t>
      </w:r>
      <w:r w:rsidR="00966C85" w:rsidRPr="00D91233">
        <w:rPr>
          <w:color w:val="000000"/>
          <w:vertAlign w:val="superscript"/>
        </w:rPr>
        <w:t>a</w:t>
      </w:r>
      <w:r w:rsidR="003236D9">
        <w:rPr>
          <w:color w:val="000000"/>
        </w:rPr>
        <w:t xml:space="preserve"> </w:t>
      </w:r>
      <w:r>
        <w:rPr>
          <w:color w:val="000000"/>
        </w:rPr>
        <w:t xml:space="preserve">edição/2005) e suas subsequentes alterações, conforme aplicável, e os requisitos </w:t>
      </w:r>
      <w:r w:rsidR="00434CC0">
        <w:rPr>
          <w:color w:val="000000"/>
        </w:rPr>
        <w:t xml:space="preserve">legais </w:t>
      </w:r>
      <w:r>
        <w:rPr>
          <w:color w:val="000000"/>
        </w:rPr>
        <w:t xml:space="preserve">e </w:t>
      </w:r>
      <w:r w:rsidR="00434CC0">
        <w:rPr>
          <w:color w:val="000000"/>
        </w:rPr>
        <w:t xml:space="preserve">regulatórios </w:t>
      </w:r>
      <w:r>
        <w:rPr>
          <w:color w:val="000000"/>
        </w:rPr>
        <w:t xml:space="preserve">aplicáveis. </w:t>
      </w:r>
      <w:r>
        <w:t xml:space="preserve">Todo o material de </w:t>
      </w:r>
      <w:r w:rsidR="00E43DDD">
        <w:t>seguimento</w:t>
      </w:r>
      <w:r>
        <w:t xml:space="preserve"> entregue a um participante potencial em um dos centros do estudo terá passado por uma revisão do Comitê de Ética em Pesquisa independente do país. Será obtida a aprovação total do Comitê de Ética em Pesquisa antes de </w:t>
      </w:r>
      <w:r w:rsidR="00A30F67">
        <w:t xml:space="preserve">se </w:t>
      </w:r>
      <w:r>
        <w:t xml:space="preserve">iniciar o </w:t>
      </w:r>
      <w:r w:rsidR="00E43DDD">
        <w:t>estudo</w:t>
      </w:r>
      <w:r>
        <w:t xml:space="preserve"> clínico e a documentação completa será enviada por carta ao investigador-chefe</w:t>
      </w:r>
      <w:r w:rsidR="00A30F67">
        <w:t>,</w:t>
      </w:r>
      <w:r>
        <w:t xml:space="preserve"> nomeando o centro de estudo do </w:t>
      </w:r>
      <w:r w:rsidR="00E43DDD">
        <w:t>estudo</w:t>
      </w:r>
      <w:r>
        <w:t xml:space="preserve"> clínico, o IP local (que também pode ser o investigador-chefe) e a data na qual o comitê de ética </w:t>
      </w:r>
      <w:r w:rsidR="00B54F38">
        <w:t xml:space="preserve">permitiu </w:t>
      </w:r>
      <w:r>
        <w:t xml:space="preserve">a realização do </w:t>
      </w:r>
      <w:r w:rsidR="00E43DDD">
        <w:t>estudo</w:t>
      </w:r>
      <w:r>
        <w:t xml:space="preserve"> clínico naquele local. </w:t>
      </w:r>
      <w:r>
        <w:rPr>
          <w:color w:val="000000"/>
        </w:rPr>
        <w:t xml:space="preserve">Todos os membros do comitê de orientação do </w:t>
      </w:r>
      <w:r w:rsidR="00E43DDD">
        <w:rPr>
          <w:color w:val="000000"/>
        </w:rPr>
        <w:t>estudo</w:t>
      </w:r>
      <w:r>
        <w:rPr>
          <w:color w:val="000000"/>
        </w:rPr>
        <w:t xml:space="preserve"> clínico irão declarar se existem conflitos de interesse antes de ingressar </w:t>
      </w:r>
      <w:r w:rsidR="00C46562">
        <w:rPr>
          <w:color w:val="000000"/>
        </w:rPr>
        <w:t xml:space="preserve">na comissão </w:t>
      </w:r>
      <w:r>
        <w:rPr>
          <w:color w:val="000000"/>
        </w:rPr>
        <w:t>d</w:t>
      </w:r>
      <w:r w:rsidR="00C46562">
        <w:rPr>
          <w:color w:val="000000"/>
        </w:rPr>
        <w:t>o</w:t>
      </w:r>
      <w:r>
        <w:rPr>
          <w:color w:val="000000"/>
        </w:rPr>
        <w:t xml:space="preserve"> estudo. Es</w:t>
      </w:r>
      <w:r w:rsidR="00B54F38">
        <w:rPr>
          <w:color w:val="000000"/>
        </w:rPr>
        <w:t>s</w:t>
      </w:r>
      <w:r>
        <w:rPr>
          <w:color w:val="000000"/>
        </w:rPr>
        <w:t xml:space="preserve">es conflitos serão </w:t>
      </w:r>
      <w:r w:rsidR="005F0C30">
        <w:rPr>
          <w:color w:val="000000"/>
        </w:rPr>
        <w:t xml:space="preserve">mencionados </w:t>
      </w:r>
      <w:r>
        <w:rPr>
          <w:color w:val="000000"/>
        </w:rPr>
        <w:t xml:space="preserve">em </w:t>
      </w:r>
      <w:r w:rsidR="00B54F38">
        <w:rPr>
          <w:color w:val="000000"/>
        </w:rPr>
        <w:t xml:space="preserve">toda </w:t>
      </w:r>
      <w:r>
        <w:rPr>
          <w:color w:val="000000"/>
        </w:rPr>
        <w:t xml:space="preserve">publicação originada do </w:t>
      </w:r>
      <w:r w:rsidR="00E43DDD">
        <w:rPr>
          <w:color w:val="000000"/>
        </w:rPr>
        <w:t>estudo</w:t>
      </w:r>
      <w:r>
        <w:rPr>
          <w:color w:val="000000"/>
        </w:rPr>
        <w:t xml:space="preserve"> clínico.</w:t>
      </w:r>
    </w:p>
    <w:p w14:paraId="44689B51" w14:textId="77777777" w:rsidR="004668D2" w:rsidRPr="00C10325" w:rsidRDefault="004668D2" w:rsidP="005239E5">
      <w:pPr>
        <w:widowControl w:val="0"/>
        <w:autoSpaceDE w:val="0"/>
        <w:autoSpaceDN w:val="0"/>
        <w:adjustRightInd w:val="0"/>
        <w:contextualSpacing/>
        <w:jc w:val="both"/>
        <w:rPr>
          <w:rFonts w:cs="Arial"/>
          <w:color w:val="000000"/>
          <w:szCs w:val="22"/>
        </w:rPr>
      </w:pPr>
    </w:p>
    <w:p w14:paraId="7C1B4D76" w14:textId="624C827F" w:rsidR="001535CD" w:rsidRPr="004F183E" w:rsidRDefault="001535CD" w:rsidP="005239E5">
      <w:pPr>
        <w:pStyle w:val="Heading1"/>
        <w:spacing w:before="0" w:after="0"/>
        <w:contextualSpacing/>
      </w:pPr>
      <w:bookmarkStart w:id="30" w:name="_Toc331159158"/>
      <w:bookmarkStart w:id="31" w:name="_Toc466030506"/>
      <w:bookmarkStart w:id="32" w:name="_Toc508183527"/>
      <w:r>
        <w:t>10.</w:t>
      </w:r>
      <w:r>
        <w:tab/>
        <w:t>MANUSEIO DE DADOS E MANUTENÇÃO DE REGISTROS</w:t>
      </w:r>
      <w:bookmarkEnd w:id="30"/>
      <w:bookmarkEnd w:id="31"/>
      <w:bookmarkEnd w:id="32"/>
    </w:p>
    <w:p w14:paraId="3E779C4E" w14:textId="77777777" w:rsidR="001535CD" w:rsidRDefault="001535CD" w:rsidP="005239E5">
      <w:pPr>
        <w:pStyle w:val="Heading2"/>
        <w:spacing w:before="0" w:after="0"/>
        <w:contextualSpacing/>
      </w:pPr>
      <w:r>
        <w:t>10.1 Confidencialidade</w:t>
      </w:r>
    </w:p>
    <w:p w14:paraId="0DB440AB" w14:textId="2C371ED3" w:rsidR="001535CD" w:rsidRDefault="001535CD" w:rsidP="005239E5">
      <w:pPr>
        <w:autoSpaceDE w:val="0"/>
        <w:autoSpaceDN w:val="0"/>
        <w:adjustRightInd w:val="0"/>
        <w:contextualSpacing/>
        <w:jc w:val="both"/>
        <w:rPr>
          <w:rFonts w:cs="Arial"/>
          <w:szCs w:val="22"/>
        </w:rPr>
      </w:pPr>
      <w:r>
        <w:t xml:space="preserve">As informações relacionadas aos participantes serão mantidas confidenciais e sua gestão será feita em conformidade com a Lei de Proteção de Dados (Reino Unido), o </w:t>
      </w:r>
      <w:r w:rsidR="00966C85" w:rsidRPr="00D91233">
        <w:rPr>
          <w:i/>
        </w:rPr>
        <w:t>NHS Caldecott Principles</w:t>
      </w:r>
      <w:r>
        <w:t xml:space="preserve"> (Reino Unido), o </w:t>
      </w:r>
      <w:r w:rsidR="00966C85" w:rsidRPr="00D91233">
        <w:rPr>
          <w:i/>
        </w:rPr>
        <w:t>The Research Governance Framework for Health and Social Care</w:t>
      </w:r>
      <w:r>
        <w:t xml:space="preserve"> (Reino Unido) </w:t>
      </w:r>
      <w:r w:rsidR="0005086B">
        <w:t xml:space="preserve">e </w:t>
      </w:r>
      <w:r>
        <w:t>as condições estabelecidas para aprovação pelo Comitê de Ética em Pesquisa</w:t>
      </w:r>
      <w:r w:rsidR="0005086B">
        <w:t>,</w:t>
      </w:r>
      <w:r>
        <w:t xml:space="preserve"> </w:t>
      </w:r>
      <w:r w:rsidR="0005086B">
        <w:t xml:space="preserve">a </w:t>
      </w:r>
      <w:r>
        <w:t>legislação correspondente ou as aprovações para um particula</w:t>
      </w:r>
      <w:r w:rsidR="0096090C">
        <w:t xml:space="preserve">r país ou centro da pesquisa. Serão coletados </w:t>
      </w:r>
      <w:r>
        <w:t xml:space="preserve">nome completo, data de nascimento, número hospitalar e número no NHS </w:t>
      </w:r>
      <w:r w:rsidR="0096090C">
        <w:t xml:space="preserve">(Reino Unido) do paciente </w:t>
      </w:r>
      <w:r>
        <w:t xml:space="preserve">para permitir o rastreamento nos registros nacionais. Os dados pessoais registrados em todos os documentos serão considerados confidenciais. Todos os documentos do paciente relacionados ao </w:t>
      </w:r>
      <w:r w:rsidR="00E43DDD">
        <w:t>estudo</w:t>
      </w:r>
      <w:r>
        <w:t xml:space="preserve"> clínico são confidenciais e devem ser arquivados de modo seguro em cada hospital (por ex., os termos de consentimento livre e esclarecido assinados pelos pacientes). O IP deve garantir que a confidencialidade do paciente será mantida </w:t>
      </w:r>
      <w:r w:rsidR="00632BFE">
        <w:t xml:space="preserve">o </w:t>
      </w:r>
      <w:r w:rsidR="00DF0AF7">
        <w:t xml:space="preserve">tempo </w:t>
      </w:r>
      <w:r w:rsidR="0005086B">
        <w:t>todo</w:t>
      </w:r>
      <w:r>
        <w:t xml:space="preserve">. O patrocinador irá garantir que todas as organizações associadas participantes manterão a confidencialidade de todos os dados pessoais dos pacientes e não irá reproduzir ou divulgar nenhuma informação que permita identificar os sujeitos, exceto quando da notificação de eventos adversos graves. Os representantes da equipe de gestão do </w:t>
      </w:r>
      <w:r w:rsidR="00E43DDD">
        <w:t>estudo</w:t>
      </w:r>
      <w:r>
        <w:t xml:space="preserve"> clínico irão solicitar o acesso ao prontuário dos pacientes </w:t>
      </w:r>
      <w:r w:rsidR="00F37801">
        <w:t>por questões de garantia de</w:t>
      </w:r>
      <w:r>
        <w:t xml:space="preserve"> qualidade e </w:t>
      </w:r>
      <w:r w:rsidR="00F37801">
        <w:t xml:space="preserve">para </w:t>
      </w:r>
      <w:r>
        <w:t>verificar os dados de origem, mas a confidencialidade dos pacientes será r</w:t>
      </w:r>
      <w:r w:rsidR="00D91233">
        <w:t>espeitad</w:t>
      </w:r>
      <w:r w:rsidR="00632BFE">
        <w:t>a o tempo todo</w:t>
      </w:r>
      <w:r>
        <w:t xml:space="preserve">. No caso de problemas especiais e/ou consultas feitas pelas autoridades competentes, também </w:t>
      </w:r>
      <w:r w:rsidR="000311DD">
        <w:t xml:space="preserve">poderá ser </w:t>
      </w:r>
      <w:r>
        <w:t xml:space="preserve">necessário acessar os registros completos do </w:t>
      </w:r>
      <w:r w:rsidR="00E43DDD">
        <w:t>estudo</w:t>
      </w:r>
      <w:r>
        <w:t xml:space="preserve"> clínico, </w:t>
      </w:r>
      <w:r w:rsidR="000311DD">
        <w:t xml:space="preserve">desde </w:t>
      </w:r>
      <w:r>
        <w:t>que se mantenha protegida a confidencialidade dos pacientes.</w:t>
      </w:r>
    </w:p>
    <w:p w14:paraId="57219BEA" w14:textId="77777777" w:rsidR="004668D2" w:rsidRDefault="004668D2" w:rsidP="005239E5">
      <w:pPr>
        <w:autoSpaceDE w:val="0"/>
        <w:autoSpaceDN w:val="0"/>
        <w:adjustRightInd w:val="0"/>
        <w:contextualSpacing/>
        <w:jc w:val="both"/>
        <w:rPr>
          <w:rFonts w:cs="Arial"/>
          <w:szCs w:val="22"/>
        </w:rPr>
      </w:pPr>
    </w:p>
    <w:p w14:paraId="3F6737E6" w14:textId="77777777" w:rsidR="001535CD" w:rsidRDefault="001535CD" w:rsidP="005239E5">
      <w:pPr>
        <w:pStyle w:val="Heading2"/>
        <w:spacing w:before="0" w:after="0"/>
        <w:contextualSpacing/>
      </w:pPr>
      <w:r>
        <w:t>10.2 Armazenagem de dados</w:t>
      </w:r>
    </w:p>
    <w:p w14:paraId="75D84EDD" w14:textId="59A65294" w:rsidR="001535CD" w:rsidRDefault="001535CD" w:rsidP="005239E5">
      <w:pPr>
        <w:widowControl w:val="0"/>
        <w:autoSpaceDE w:val="0"/>
        <w:autoSpaceDN w:val="0"/>
        <w:adjustRightInd w:val="0"/>
        <w:contextualSpacing/>
        <w:jc w:val="both"/>
        <w:rPr>
          <w:rFonts w:cs="Arial"/>
          <w:szCs w:val="22"/>
        </w:rPr>
      </w:pPr>
      <w:r>
        <w:t xml:space="preserve">Os dados serão transcritos para uma ficha clínica (CRF) antes de serem inseridos no portal Web seguro de entrada de dados </w:t>
      </w:r>
      <w:r w:rsidR="00C46562">
        <w:t xml:space="preserve">do </w:t>
      </w:r>
      <w:r>
        <w:t>OPTIMISE II. Os usuários autorizados da comissão do estudo irão revisar a integridade e a coerência dos dados apresentados. Os dados enviados serão arquivados de forma segura</w:t>
      </w:r>
      <w:r w:rsidR="00AD7950">
        <w:t>,</w:t>
      </w:r>
      <w:r>
        <w:t xml:space="preserve"> protegidos contra manipulações não autorizadas e perdas acidentais. Somente terão acesso os usuários autorizados no centro do estudo ou na Queen Mary University of London (patrocinador e responsável pelo portal de entrada de dados). A segurança da área de trabalho </w:t>
      </w:r>
      <w:r w:rsidR="001A1FA2">
        <w:t>será</w:t>
      </w:r>
      <w:r>
        <w:t xml:space="preserve"> mantida através de nomes de usuário e senhas. Serão adotados procedimentos de cópias de segurança (</w:t>
      </w:r>
      <w:r>
        <w:rPr>
          <w:i/>
        </w:rPr>
        <w:t>backup</w:t>
      </w:r>
      <w:r>
        <w:t xml:space="preserve">) de dados. A armazenagem e manuseio dos dados e documentos confidenciais do </w:t>
      </w:r>
      <w:r w:rsidR="00E43DDD">
        <w:t>estudo</w:t>
      </w:r>
      <w:r>
        <w:t xml:space="preserve"> clínico serão feitos em conformidade com a Lei de Proteção de Dados de 1998 (Reino Unido).</w:t>
      </w:r>
    </w:p>
    <w:p w14:paraId="06566C19" w14:textId="77777777" w:rsidR="005239E5" w:rsidRDefault="005239E5" w:rsidP="005239E5">
      <w:pPr>
        <w:widowControl w:val="0"/>
        <w:autoSpaceDE w:val="0"/>
        <w:autoSpaceDN w:val="0"/>
        <w:adjustRightInd w:val="0"/>
        <w:contextualSpacing/>
        <w:jc w:val="both"/>
        <w:rPr>
          <w:rFonts w:cs="Arial"/>
          <w:szCs w:val="22"/>
        </w:rPr>
      </w:pPr>
    </w:p>
    <w:p w14:paraId="3C7DBFA4" w14:textId="77777777" w:rsidR="001535CD" w:rsidRDefault="001535CD" w:rsidP="005239E5">
      <w:pPr>
        <w:pStyle w:val="Heading2"/>
        <w:spacing w:before="0" w:after="0"/>
        <w:contextualSpacing/>
      </w:pPr>
      <w:r>
        <w:t>10.3 Arquivamento</w:t>
      </w:r>
    </w:p>
    <w:p w14:paraId="3F2DD823" w14:textId="77777777" w:rsidR="001535CD" w:rsidRDefault="001535CD" w:rsidP="005239E5">
      <w:pPr>
        <w:widowControl w:val="0"/>
        <w:autoSpaceDE w:val="0"/>
        <w:autoSpaceDN w:val="0"/>
        <w:adjustRightInd w:val="0"/>
        <w:contextualSpacing/>
        <w:jc w:val="both"/>
        <w:rPr>
          <w:rFonts w:cs="Arial"/>
          <w:szCs w:val="22"/>
        </w:rPr>
      </w:pPr>
      <w:r>
        <w:t xml:space="preserve">Toda a documentação e dados do </w:t>
      </w:r>
      <w:r w:rsidR="00E43DDD">
        <w:t>estudo</w:t>
      </w:r>
      <w:r>
        <w:t xml:space="preserve"> clínico serão centralmente arquivados pelo Patrocinador em uma instalação de arquivo projetada especificamente para armazenar os dados durante 20 anos, em conformidade com os requisitos </w:t>
      </w:r>
      <w:r w:rsidR="006D54EA">
        <w:t>regulatórios</w:t>
      </w:r>
      <w:r>
        <w:t>. O acesso a estes arquivos ficará restrito ao pessoal autorizado. Os conjuntos de dados eletrônicos serão arquivados indefinidamente.</w:t>
      </w:r>
    </w:p>
    <w:p w14:paraId="5CC97D39" w14:textId="77777777" w:rsidR="005239E5" w:rsidRDefault="005239E5" w:rsidP="005239E5">
      <w:pPr>
        <w:widowControl w:val="0"/>
        <w:autoSpaceDE w:val="0"/>
        <w:autoSpaceDN w:val="0"/>
        <w:adjustRightInd w:val="0"/>
        <w:contextualSpacing/>
        <w:jc w:val="both"/>
        <w:rPr>
          <w:rFonts w:cs="Arial"/>
          <w:szCs w:val="22"/>
        </w:rPr>
      </w:pPr>
    </w:p>
    <w:p w14:paraId="38D5CAA0" w14:textId="77777777" w:rsidR="001535CD" w:rsidRDefault="001535CD" w:rsidP="005239E5">
      <w:pPr>
        <w:widowControl w:val="0"/>
        <w:autoSpaceDE w:val="0"/>
        <w:autoSpaceDN w:val="0"/>
        <w:adjustRightInd w:val="0"/>
        <w:contextualSpacing/>
        <w:jc w:val="both"/>
        <w:rPr>
          <w:rFonts w:cs="Arial"/>
          <w:szCs w:val="22"/>
        </w:rPr>
      </w:pPr>
      <w:r>
        <w:rPr>
          <w:b/>
          <w:i/>
        </w:rPr>
        <w:t>10.4 Dados identificáveis do paciente</w:t>
      </w:r>
    </w:p>
    <w:p w14:paraId="7CCB2A92" w14:textId="77777777" w:rsidR="00320833" w:rsidRPr="0020109C" w:rsidRDefault="0096090C" w:rsidP="005239E5">
      <w:pPr>
        <w:widowControl w:val="0"/>
        <w:autoSpaceDE w:val="0"/>
        <w:autoSpaceDN w:val="0"/>
        <w:adjustRightInd w:val="0"/>
        <w:contextualSpacing/>
        <w:jc w:val="both"/>
        <w:rPr>
          <w:rFonts w:cs="Arial"/>
          <w:szCs w:val="22"/>
        </w:rPr>
      </w:pPr>
      <w:r>
        <w:t>Serão registrado</w:t>
      </w:r>
      <w:r w:rsidR="008A50DB">
        <w:t>s uma ID exclusiva de participante e as iniciais do paciente para cada sujeito.</w:t>
      </w:r>
    </w:p>
    <w:p w14:paraId="192D2A10" w14:textId="77777777" w:rsidR="00AB0CBA" w:rsidRDefault="00AB0CBA" w:rsidP="005239E5">
      <w:pPr>
        <w:widowControl w:val="0"/>
        <w:autoSpaceDE w:val="0"/>
        <w:autoSpaceDN w:val="0"/>
        <w:adjustRightInd w:val="0"/>
        <w:contextualSpacing/>
        <w:jc w:val="both"/>
        <w:rPr>
          <w:rFonts w:cs="Arial"/>
          <w:i/>
          <w:szCs w:val="22"/>
        </w:rPr>
      </w:pPr>
    </w:p>
    <w:p w14:paraId="74B36793" w14:textId="5CBACE02" w:rsidR="001535CD" w:rsidRDefault="00F62DAA" w:rsidP="005239E5">
      <w:pPr>
        <w:widowControl w:val="0"/>
        <w:autoSpaceDE w:val="0"/>
        <w:autoSpaceDN w:val="0"/>
        <w:adjustRightInd w:val="0"/>
        <w:contextualSpacing/>
        <w:jc w:val="both"/>
        <w:rPr>
          <w:rFonts w:cs="Arial"/>
          <w:szCs w:val="22"/>
        </w:rPr>
      </w:pPr>
      <w:r>
        <w:rPr>
          <w:i/>
        </w:rPr>
        <w:t xml:space="preserve">Somente no Reino Unido: </w:t>
      </w:r>
      <w:r>
        <w:t>Para facilitar a vinculação com as bases de dados nacionais do Reino Unido para a coleta dos dados de seguimento, os dados identificáveis dos pacientes serão reunidos e inseridos no portal Web seguro de entrada de dados. Os dados serão arquivados e processados em conformidade com a Lei de Proteção de Dados de 1998 (Reino Unido). Caso seja necessário transferir dados identificáveis do paciente entre os usuários autorizados, isto será feito por um e-mail da conta @nhs.net para um e-mail da conta @nhs.net no Reino Unido ou por uma transferência por e-mail seguro equivalente em outros países.</w:t>
      </w:r>
    </w:p>
    <w:p w14:paraId="21996259" w14:textId="77777777" w:rsidR="00F62DAA" w:rsidRDefault="00F62DAA" w:rsidP="005239E5">
      <w:pPr>
        <w:widowControl w:val="0"/>
        <w:autoSpaceDE w:val="0"/>
        <w:autoSpaceDN w:val="0"/>
        <w:adjustRightInd w:val="0"/>
        <w:contextualSpacing/>
        <w:jc w:val="both"/>
        <w:rPr>
          <w:rFonts w:cs="Arial"/>
          <w:i/>
          <w:szCs w:val="22"/>
        </w:rPr>
      </w:pPr>
    </w:p>
    <w:p w14:paraId="145EB232" w14:textId="77777777" w:rsidR="00320833" w:rsidRPr="00320833" w:rsidRDefault="00320833" w:rsidP="005239E5">
      <w:pPr>
        <w:widowControl w:val="0"/>
        <w:autoSpaceDE w:val="0"/>
        <w:autoSpaceDN w:val="0"/>
        <w:adjustRightInd w:val="0"/>
        <w:contextualSpacing/>
        <w:jc w:val="both"/>
        <w:rPr>
          <w:rFonts w:cs="Arial"/>
          <w:i/>
          <w:szCs w:val="22"/>
        </w:rPr>
      </w:pPr>
      <w:r>
        <w:rPr>
          <w:i/>
        </w:rPr>
        <w:t>Fora do Reino Unido</w:t>
      </w:r>
    </w:p>
    <w:p w14:paraId="0FE6F50B" w14:textId="77777777" w:rsidR="001535CD" w:rsidRDefault="00AB0CBA" w:rsidP="00E069DC">
      <w:pPr>
        <w:tabs>
          <w:tab w:val="left" w:pos="540"/>
        </w:tabs>
        <w:contextualSpacing/>
        <w:jc w:val="both"/>
        <w:outlineLvl w:val="0"/>
        <w:rPr>
          <w:rFonts w:cs="Arial"/>
          <w:szCs w:val="22"/>
        </w:rPr>
      </w:pPr>
      <w:r>
        <w:t>Não são exigidos dados identificáveis para a análise de pacientes fora do Reino Unido. Os dados serão arquivados e processados em conformidade com a legislação de proteção de dados de cada país ou centro do estudo.</w:t>
      </w:r>
    </w:p>
    <w:p w14:paraId="2A536869" w14:textId="77777777" w:rsidR="00EC73DF" w:rsidRDefault="00EC73DF" w:rsidP="005239E5">
      <w:pPr>
        <w:tabs>
          <w:tab w:val="left" w:pos="540"/>
        </w:tabs>
        <w:contextualSpacing/>
        <w:outlineLvl w:val="0"/>
        <w:rPr>
          <w:rFonts w:cs="Arial"/>
          <w:szCs w:val="22"/>
        </w:rPr>
      </w:pPr>
    </w:p>
    <w:p w14:paraId="5CD94D93" w14:textId="77777777" w:rsidR="001535CD" w:rsidRPr="00F45624" w:rsidRDefault="001535CD" w:rsidP="005239E5">
      <w:pPr>
        <w:pStyle w:val="Heading1"/>
        <w:spacing w:before="0" w:after="0"/>
        <w:contextualSpacing/>
      </w:pPr>
      <w:bookmarkStart w:id="33" w:name="_Toc466030507"/>
      <w:bookmarkStart w:id="34" w:name="_Toc508183528"/>
      <w:r>
        <w:t>11.</w:t>
      </w:r>
      <w:r>
        <w:tab/>
        <w:t>PRODUTOS, DISPOSITIVOS E TÉCNICAS</w:t>
      </w:r>
      <w:bookmarkEnd w:id="33"/>
      <w:bookmarkEnd w:id="34"/>
    </w:p>
    <w:p w14:paraId="1781DA8B" w14:textId="77777777" w:rsidR="001535CD" w:rsidRDefault="00630A84" w:rsidP="005239E5">
      <w:pPr>
        <w:pStyle w:val="Heading2"/>
        <w:spacing w:before="0" w:after="0"/>
        <w:contextualSpacing/>
      </w:pPr>
      <w:r>
        <w:t>11.1 Terapia hemodinâmica guiada pelo débito cardíaco</w:t>
      </w:r>
    </w:p>
    <w:p w14:paraId="6BA9CDAD" w14:textId="77777777" w:rsidR="001535CD" w:rsidRPr="00F91D5E" w:rsidRDefault="00630A84" w:rsidP="005239E5">
      <w:pPr>
        <w:jc w:val="both"/>
        <w:rPr>
          <w:rFonts w:cs="Arial"/>
        </w:rPr>
      </w:pPr>
      <w:r>
        <w:t xml:space="preserve">Os monitores de débito cardíaco são utilizados rotineiramente nos cuidados secundários. Para este estudo, todos os centros somente usarão o equipamento de monitoramento de débito cardíaco fornecido pela Edwards Lifesciences. O dispositivo </w:t>
      </w:r>
      <w:r w:rsidR="0096090C">
        <w:t>possui</w:t>
      </w:r>
      <w:r>
        <w:t>: EV1000 (monitor), ClearSight (sensor não invasivo) e FloTrac (sensor invasivo)</w:t>
      </w:r>
      <w:r w:rsidR="00750D82">
        <w:t>,</w:t>
      </w:r>
      <w:r>
        <w:t xml:space="preserve"> e os médicos poderão escolher qual dos dois sensores serão usados em função de cada paciente. Consulte o SOP da gestão do grupo intervenção para obter detalhes específicos da intervenção.</w:t>
      </w:r>
    </w:p>
    <w:p w14:paraId="6C44551D" w14:textId="77777777" w:rsidR="001535CD" w:rsidRDefault="001535CD" w:rsidP="005239E5">
      <w:pPr>
        <w:autoSpaceDE w:val="0"/>
        <w:autoSpaceDN w:val="0"/>
        <w:adjustRightInd w:val="0"/>
        <w:contextualSpacing/>
        <w:jc w:val="both"/>
        <w:rPr>
          <w:rFonts w:cs="Arial"/>
          <w:szCs w:val="22"/>
        </w:rPr>
      </w:pPr>
    </w:p>
    <w:p w14:paraId="14822FB3" w14:textId="057DFF31" w:rsidR="001535CD" w:rsidRDefault="001535CD" w:rsidP="005239E5">
      <w:pPr>
        <w:pStyle w:val="Heading1"/>
        <w:spacing w:before="0" w:after="0"/>
        <w:ind w:left="0" w:firstLine="0"/>
        <w:contextualSpacing/>
      </w:pPr>
      <w:bookmarkStart w:id="35" w:name="_Toc331149074"/>
      <w:bookmarkStart w:id="36" w:name="_Toc331149110"/>
      <w:bookmarkStart w:id="37" w:name="_Toc331149146"/>
      <w:bookmarkStart w:id="38" w:name="_Toc331149600"/>
      <w:bookmarkStart w:id="39" w:name="_Toc331149628"/>
      <w:bookmarkStart w:id="40" w:name="_Toc331149656"/>
      <w:bookmarkStart w:id="41" w:name="_Toc331149684"/>
      <w:bookmarkStart w:id="42" w:name="_Toc331149710"/>
      <w:bookmarkStart w:id="43" w:name="_Toc331149735"/>
      <w:bookmarkStart w:id="44" w:name="_Toc331149781"/>
      <w:bookmarkStart w:id="45" w:name="_Toc331149806"/>
      <w:bookmarkStart w:id="46" w:name="_Toc331149831"/>
      <w:bookmarkStart w:id="47" w:name="_Toc331149884"/>
      <w:bookmarkStart w:id="48" w:name="_Toc331159160"/>
      <w:bookmarkStart w:id="49" w:name="_Toc331159161"/>
      <w:bookmarkStart w:id="50" w:name="_Toc466030508"/>
      <w:bookmarkStart w:id="51" w:name="_Toc508183529"/>
      <w:bookmarkEnd w:id="35"/>
      <w:bookmarkEnd w:id="36"/>
      <w:bookmarkEnd w:id="37"/>
      <w:bookmarkEnd w:id="38"/>
      <w:bookmarkEnd w:id="39"/>
      <w:bookmarkEnd w:id="40"/>
      <w:bookmarkEnd w:id="41"/>
      <w:bookmarkEnd w:id="42"/>
      <w:bookmarkEnd w:id="43"/>
      <w:bookmarkEnd w:id="44"/>
      <w:bookmarkEnd w:id="45"/>
      <w:bookmarkEnd w:id="46"/>
      <w:bookmarkEnd w:id="47"/>
      <w:bookmarkEnd w:id="48"/>
      <w:r>
        <w:t>12.</w:t>
      </w:r>
      <w:r>
        <w:tab/>
        <w:t>RELATÓRIO DE SEGURANÇA</w:t>
      </w:r>
      <w:bookmarkEnd w:id="49"/>
      <w:bookmarkEnd w:id="50"/>
      <w:bookmarkEnd w:id="51"/>
    </w:p>
    <w:p w14:paraId="616CAABC" w14:textId="77777777" w:rsidR="001535CD" w:rsidRPr="009019D5" w:rsidRDefault="001535CD" w:rsidP="005239E5">
      <w:pPr>
        <w:pStyle w:val="Heading2"/>
        <w:spacing w:before="0" w:after="0"/>
        <w:contextualSpacing/>
      </w:pPr>
      <w:r>
        <w:t>12.1 Eventos adversos (EA)</w:t>
      </w:r>
    </w:p>
    <w:p w14:paraId="20DEDDCB" w14:textId="4DB3B3D2" w:rsidR="00EB1409" w:rsidRPr="005057B1" w:rsidRDefault="001535CD" w:rsidP="005239E5">
      <w:pPr>
        <w:contextualSpacing/>
        <w:jc w:val="both"/>
        <w:rPr>
          <w:rFonts w:cs="Arial"/>
          <w:bCs/>
          <w:szCs w:val="22"/>
        </w:rPr>
      </w:pPr>
      <w:r>
        <w:t>Um EA é qualquer ocorrência médica desfavorável em um sujeito que tenha recebido uma intervenção, incluindo as ocorrências que não são necessariamente causadas por ou relacionadas com essa intervenção. Portanto, um EA pode ser qualquer sinal, sintoma ou enfermidade desfavorável e involuntári</w:t>
      </w:r>
      <w:r w:rsidR="007B260F">
        <w:t>o</w:t>
      </w:r>
      <w:r>
        <w:t xml:space="preserve"> associad</w:t>
      </w:r>
      <w:r w:rsidR="007B260F">
        <w:t>o</w:t>
      </w:r>
      <w:r>
        <w:t xml:space="preserve"> temporariamente com as atividades do estudo. Todavia, o OPTIMISE II não é um </w:t>
      </w:r>
      <w:r w:rsidR="00E43DDD">
        <w:t>estudo</w:t>
      </w:r>
      <w:r>
        <w:t xml:space="preserve"> clínico de um medicamento investigacional e todas as intervenções do </w:t>
      </w:r>
      <w:r w:rsidR="00E43DDD">
        <w:t>estudo</w:t>
      </w:r>
      <w:r>
        <w:t xml:space="preserve"> clínico já existem </w:t>
      </w:r>
      <w:r w:rsidR="007B260F">
        <w:t xml:space="preserve">na rotina </w:t>
      </w:r>
      <w:r>
        <w:t>clínic</w:t>
      </w:r>
      <w:r w:rsidR="007B260F">
        <w:t>a</w:t>
      </w:r>
      <w:r>
        <w:t xml:space="preserve"> </w:t>
      </w:r>
      <w:r w:rsidR="007B260F">
        <w:t>d</w:t>
      </w:r>
      <w:r>
        <w:t xml:space="preserve">os pacientes submetidos a uma cirurgia gastrointestinal de grande porte. A segurança da intervenção será monitorada através do registro de eventos cardíacos agudos </w:t>
      </w:r>
      <w:r w:rsidR="00D56578">
        <w:t xml:space="preserve">durante </w:t>
      </w:r>
      <w:r>
        <w:t xml:space="preserve">24 horas e 30 dias depois da randomização como um resultado do </w:t>
      </w:r>
      <w:r w:rsidR="00E43DDD">
        <w:t>estudo</w:t>
      </w:r>
      <w:r>
        <w:t xml:space="preserve"> clínico. Estes eventos serão monitorados em intervalos pelo Comitê de Ética e Monitoramento de Dados e não serão registrados separadamente como um EA na ficha clínica</w:t>
      </w:r>
      <w:r w:rsidR="00A3505A">
        <w:t xml:space="preserve"> do paciente</w:t>
      </w:r>
      <w:r>
        <w:t>.</w:t>
      </w:r>
    </w:p>
    <w:p w14:paraId="20EF7304" w14:textId="77777777" w:rsidR="001535CD" w:rsidRPr="005057B1" w:rsidRDefault="001535CD" w:rsidP="005239E5">
      <w:pPr>
        <w:ind w:left="900"/>
        <w:contextualSpacing/>
        <w:rPr>
          <w:rFonts w:cs="Arial"/>
          <w:bCs/>
          <w:szCs w:val="22"/>
        </w:rPr>
      </w:pPr>
    </w:p>
    <w:p w14:paraId="1D1C11C2" w14:textId="77777777" w:rsidR="001535CD" w:rsidRPr="005057B1" w:rsidRDefault="00032EDE" w:rsidP="005239E5">
      <w:pPr>
        <w:pStyle w:val="Heading2"/>
        <w:spacing w:before="0" w:after="0"/>
        <w:contextualSpacing/>
      </w:pPr>
      <w:r>
        <w:t>12.2 Evento adverso grave (EAG)</w:t>
      </w:r>
    </w:p>
    <w:p w14:paraId="58E206E2" w14:textId="77777777" w:rsidR="001535CD" w:rsidRPr="006943A6" w:rsidRDefault="001535CD" w:rsidP="005239E5">
      <w:pPr>
        <w:contextualSpacing/>
        <w:jc w:val="both"/>
        <w:rPr>
          <w:rFonts w:cs="Arial"/>
          <w:szCs w:val="22"/>
        </w:rPr>
      </w:pPr>
      <w:r>
        <w:t>Um evento adverso grave (EAG) é uma ocorrência adversa que:</w:t>
      </w:r>
    </w:p>
    <w:p w14:paraId="722EE9E9" w14:textId="77777777" w:rsidR="001535CD" w:rsidRPr="006943A6" w:rsidRDefault="001535CD" w:rsidP="005239E5">
      <w:pPr>
        <w:ind w:left="851" w:hanging="425"/>
        <w:contextualSpacing/>
        <w:jc w:val="both"/>
        <w:rPr>
          <w:rFonts w:cs="Arial"/>
          <w:szCs w:val="22"/>
        </w:rPr>
      </w:pPr>
      <w:r>
        <w:t>(a)</w:t>
      </w:r>
      <w:r>
        <w:tab/>
        <w:t>resulta em óbito;</w:t>
      </w:r>
    </w:p>
    <w:p w14:paraId="0CD0795F" w14:textId="020661E6" w:rsidR="001535CD" w:rsidRPr="008C7AAA" w:rsidRDefault="0096090C" w:rsidP="005239E5">
      <w:pPr>
        <w:ind w:left="851" w:hanging="425"/>
        <w:contextualSpacing/>
        <w:jc w:val="both"/>
        <w:rPr>
          <w:rFonts w:cs="Arial"/>
          <w:szCs w:val="22"/>
        </w:rPr>
      </w:pPr>
      <w:r>
        <w:t xml:space="preserve">(b) </w:t>
      </w:r>
      <w:r w:rsidR="001535CD">
        <w:t>é potencialmente fatal;</w:t>
      </w:r>
    </w:p>
    <w:p w14:paraId="34CCF061" w14:textId="77777777" w:rsidR="001535CD" w:rsidRPr="008C7AAA" w:rsidRDefault="001535CD" w:rsidP="005239E5">
      <w:pPr>
        <w:ind w:left="851" w:hanging="425"/>
        <w:contextualSpacing/>
        <w:jc w:val="both"/>
        <w:rPr>
          <w:rFonts w:cs="Arial"/>
          <w:szCs w:val="22"/>
        </w:rPr>
      </w:pPr>
      <w:r>
        <w:t>(c)</w:t>
      </w:r>
      <w:r>
        <w:tab/>
        <w:t>necessita hospitalização ou prolongamento de uma hospitalização já existente significativamente superior à permanência normal de internamento para a cirurgia em questão;</w:t>
      </w:r>
    </w:p>
    <w:p w14:paraId="352E7BED" w14:textId="77777777" w:rsidR="001535CD" w:rsidRPr="008C7AAA" w:rsidRDefault="001535CD" w:rsidP="005239E5">
      <w:pPr>
        <w:ind w:left="851" w:hanging="425"/>
        <w:contextualSpacing/>
        <w:jc w:val="both"/>
        <w:rPr>
          <w:rFonts w:cs="Arial"/>
          <w:szCs w:val="22"/>
        </w:rPr>
      </w:pPr>
      <w:r>
        <w:t>(d)</w:t>
      </w:r>
      <w:r>
        <w:tab/>
        <w:t xml:space="preserve">resulta em </w:t>
      </w:r>
      <w:r w:rsidR="007F24B9">
        <w:t xml:space="preserve">deficiência </w:t>
      </w:r>
      <w:r>
        <w:t>persistente ou significativa, ou incapacidade;</w:t>
      </w:r>
    </w:p>
    <w:p w14:paraId="5354FFE6" w14:textId="77777777" w:rsidR="001535CD" w:rsidRPr="005057B1" w:rsidRDefault="001535CD" w:rsidP="005239E5">
      <w:pPr>
        <w:ind w:hanging="720"/>
        <w:contextualSpacing/>
        <w:jc w:val="both"/>
        <w:rPr>
          <w:rFonts w:cs="Arial"/>
          <w:szCs w:val="22"/>
        </w:rPr>
      </w:pPr>
    </w:p>
    <w:p w14:paraId="7EE9FB5C" w14:textId="77777777" w:rsidR="001535CD" w:rsidRPr="005057B1" w:rsidRDefault="001535CD" w:rsidP="005239E5">
      <w:pPr>
        <w:contextualSpacing/>
        <w:jc w:val="both"/>
        <w:rPr>
          <w:rFonts w:cs="Arial"/>
          <w:szCs w:val="22"/>
        </w:rPr>
      </w:pPr>
      <w:r>
        <w:t>A ocorrência de um EAG em um participante da pesquisa deve ser notificada ao patrocinador quando, na opinião do investigador-chefe, o evento for:</w:t>
      </w:r>
    </w:p>
    <w:p w14:paraId="715CEC55" w14:textId="77777777" w:rsidR="001535CD" w:rsidRPr="005057B1" w:rsidRDefault="001535CD" w:rsidP="005239E5">
      <w:pPr>
        <w:ind w:left="851" w:hanging="425"/>
        <w:contextualSpacing/>
        <w:jc w:val="both"/>
        <w:rPr>
          <w:rFonts w:cs="Arial"/>
          <w:szCs w:val="22"/>
        </w:rPr>
      </w:pPr>
      <w:r>
        <w:t xml:space="preserve">• </w:t>
      </w:r>
      <w:r>
        <w:tab/>
        <w:t xml:space="preserve">Relacionado – um evento que </w:t>
      </w:r>
      <w:r w:rsidR="0031028D">
        <w:t xml:space="preserve">seja </w:t>
      </w:r>
      <w:r>
        <w:t>resultado da administração de qualquer um dos procedimentos da pesquisa, e</w:t>
      </w:r>
    </w:p>
    <w:p w14:paraId="14E37916" w14:textId="77777777" w:rsidR="001535CD" w:rsidRDefault="001535CD" w:rsidP="005239E5">
      <w:pPr>
        <w:ind w:left="851" w:hanging="425"/>
        <w:contextualSpacing/>
        <w:jc w:val="both"/>
        <w:rPr>
          <w:rFonts w:cs="Arial"/>
          <w:szCs w:val="22"/>
        </w:rPr>
      </w:pPr>
      <w:r>
        <w:t xml:space="preserve">• </w:t>
      </w:r>
      <w:r>
        <w:tab/>
        <w:t xml:space="preserve">Inesperado – um tipo de evento que não esteja </w:t>
      </w:r>
      <w:r w:rsidR="0031028D">
        <w:t xml:space="preserve">listado </w:t>
      </w:r>
      <w:r>
        <w:t>no protocolo como uma ocorrência esperada.</w:t>
      </w:r>
    </w:p>
    <w:p w14:paraId="75A8EC5F" w14:textId="77777777" w:rsidR="00F62DAA" w:rsidRDefault="00F62DAA" w:rsidP="005239E5">
      <w:pPr>
        <w:contextualSpacing/>
        <w:jc w:val="both"/>
        <w:rPr>
          <w:rFonts w:cs="Arial"/>
          <w:szCs w:val="22"/>
        </w:rPr>
      </w:pPr>
    </w:p>
    <w:p w14:paraId="6C80FF3B" w14:textId="49E66987" w:rsidR="001535CD" w:rsidRDefault="00630A84" w:rsidP="005239E5">
      <w:pPr>
        <w:contextualSpacing/>
        <w:jc w:val="both"/>
        <w:rPr>
          <w:rFonts w:cs="Arial"/>
          <w:szCs w:val="22"/>
        </w:rPr>
      </w:pPr>
      <w:r>
        <w:t xml:space="preserve">O </w:t>
      </w:r>
      <w:r w:rsidR="00E43DDD">
        <w:t>estudo</w:t>
      </w:r>
      <w:r w:rsidR="007C3500">
        <w:t xml:space="preserve"> clínico </w:t>
      </w:r>
      <w:r>
        <w:t>OPTIMISE II é uma investigação de uma intervenção perioperat</w:t>
      </w:r>
      <w:r w:rsidR="00625BFC">
        <w:t>ória</w:t>
      </w:r>
      <w:r>
        <w:t xml:space="preserve">. </w:t>
      </w:r>
      <w:r w:rsidR="00625BFC">
        <w:t>É esperado</w:t>
      </w:r>
      <w:r>
        <w:t xml:space="preserve"> que os pacientes submetidos a uma cirurgia abdominal de grande porte sofram complicações médicas, com consequências que podem incluir óbito. Somente </w:t>
      </w:r>
      <w:r w:rsidR="00625BFC">
        <w:t xml:space="preserve">devem ser registradas como EAGs </w:t>
      </w:r>
      <w:r>
        <w:t xml:space="preserve">as complicações consideradas pelo investigador-chefe como sendo </w:t>
      </w:r>
      <w:r>
        <w:rPr>
          <w:i/>
        </w:rPr>
        <w:t>relacionadas ao uso dos procedimentos do estudo</w:t>
      </w:r>
      <w:r>
        <w:t xml:space="preserve"> e não a</w:t>
      </w:r>
      <w:r w:rsidR="00625BFC">
        <w:t>s</w:t>
      </w:r>
      <w:r>
        <w:t xml:space="preserve"> complicaç</w:t>
      </w:r>
      <w:r w:rsidR="00625BFC">
        <w:t>ões</w:t>
      </w:r>
      <w:r>
        <w:t xml:space="preserve"> típica</w:t>
      </w:r>
      <w:r w:rsidR="00625BFC">
        <w:t>s</w:t>
      </w:r>
      <w:r>
        <w:t xml:space="preserve"> d</w:t>
      </w:r>
      <w:r w:rsidR="00625BFC">
        <w:t>e um</w:t>
      </w:r>
      <w:r>
        <w:t>a cirurgia abdominal.</w:t>
      </w:r>
    </w:p>
    <w:p w14:paraId="2BCC6B0D" w14:textId="77777777" w:rsidR="001535CD" w:rsidRDefault="001535CD" w:rsidP="005239E5">
      <w:pPr>
        <w:contextualSpacing/>
        <w:jc w:val="both"/>
        <w:rPr>
          <w:rFonts w:cs="Arial"/>
          <w:szCs w:val="22"/>
        </w:rPr>
      </w:pPr>
    </w:p>
    <w:p w14:paraId="5C33ABDC" w14:textId="276B49FF" w:rsidR="001535CD" w:rsidRPr="00944FAC" w:rsidRDefault="001535CD" w:rsidP="005239E5">
      <w:pPr>
        <w:pStyle w:val="Heading2"/>
        <w:spacing w:before="0" w:after="0"/>
        <w:contextualSpacing/>
      </w:pPr>
      <w:r>
        <w:t xml:space="preserve">12.3 Notificação e </w:t>
      </w:r>
      <w:r w:rsidR="00846677">
        <w:t xml:space="preserve">relato </w:t>
      </w:r>
      <w:r>
        <w:t>de eventos adversos graves</w:t>
      </w:r>
    </w:p>
    <w:p w14:paraId="45550478" w14:textId="758C9432" w:rsidR="001535CD" w:rsidRDefault="001535CD" w:rsidP="005239E5">
      <w:pPr>
        <w:contextualSpacing/>
        <w:jc w:val="both"/>
        <w:rPr>
          <w:rFonts w:cs="Arial"/>
          <w:szCs w:val="22"/>
        </w:rPr>
      </w:pPr>
      <w:r>
        <w:t xml:space="preserve">Os eventos adversos graves (EAGs) que são considerados "relacionados" e "inesperados" devem ser notificados ao patrocinador e ao representante do patrocinador </w:t>
      </w:r>
      <w:r w:rsidR="00DF0AF7">
        <w:t>d</w:t>
      </w:r>
      <w:r>
        <w:t xml:space="preserve">o país onde o </w:t>
      </w:r>
      <w:r w:rsidR="00E43DDD">
        <w:t>estudo</w:t>
      </w:r>
      <w:r>
        <w:t xml:space="preserve"> clínico se realiza, dentro de 72 horas após o conhecimento do evento</w:t>
      </w:r>
      <w:r w:rsidR="003713DB">
        <w:t>.</w:t>
      </w:r>
    </w:p>
    <w:p w14:paraId="6999387F" w14:textId="77777777" w:rsidR="00F841A6" w:rsidRDefault="00F841A6" w:rsidP="005239E5">
      <w:pPr>
        <w:contextualSpacing/>
        <w:jc w:val="both"/>
        <w:rPr>
          <w:rFonts w:cs="Arial"/>
          <w:szCs w:val="22"/>
        </w:rPr>
      </w:pPr>
    </w:p>
    <w:p w14:paraId="3619563A" w14:textId="5A027FF8" w:rsidR="001535CD" w:rsidRPr="00944FAC" w:rsidRDefault="001535CD" w:rsidP="005239E5">
      <w:pPr>
        <w:pStyle w:val="Heading2"/>
        <w:spacing w:before="0" w:after="0"/>
        <w:contextualSpacing/>
      </w:pPr>
      <w:r>
        <w:t>12.4 Notificação de um evento adverso grave</w:t>
      </w:r>
    </w:p>
    <w:p w14:paraId="050DACBD" w14:textId="77777777" w:rsidR="001535CD" w:rsidRPr="005057B1" w:rsidRDefault="001535CD" w:rsidP="005239E5">
      <w:pPr>
        <w:contextualSpacing/>
        <w:jc w:val="both"/>
        <w:rPr>
          <w:rFonts w:cs="Arial"/>
          <w:szCs w:val="22"/>
        </w:rPr>
      </w:pPr>
      <w:r>
        <w:t>Cada centro do estudo individual</w:t>
      </w:r>
      <w:r w:rsidR="00B04E4A">
        <w:t>mente</w:t>
      </w:r>
      <w:r>
        <w:t xml:space="preserve"> notificar</w:t>
      </w:r>
      <w:r w:rsidR="00B04E4A">
        <w:t>á</w:t>
      </w:r>
      <w:r>
        <w:t xml:space="preserve"> a existência de um EAG por e-mail, enviando uma cópia digitalizada do Formulário de Notificação de Evento Adverso Grave suplementar ao coordenador nacional de seu país. Os EAGs deverão ser notificados em um prazo de 72 horas e encaminhados ao patrocinador através do centro de coordenação do Reino Unido.</w:t>
      </w:r>
    </w:p>
    <w:p w14:paraId="78A894F1" w14:textId="77777777" w:rsidR="001535CD" w:rsidRPr="005057B1" w:rsidRDefault="001535CD" w:rsidP="005239E5">
      <w:pPr>
        <w:ind w:left="540"/>
        <w:contextualSpacing/>
        <w:jc w:val="both"/>
        <w:rPr>
          <w:rFonts w:cs="Arial"/>
          <w:szCs w:val="22"/>
        </w:rPr>
      </w:pPr>
    </w:p>
    <w:p w14:paraId="7666C9EC" w14:textId="77777777" w:rsidR="001535CD" w:rsidRPr="00944FAC" w:rsidRDefault="001535CD" w:rsidP="005239E5">
      <w:pPr>
        <w:pStyle w:val="Heading2"/>
        <w:spacing w:before="0" w:after="0"/>
        <w:contextualSpacing/>
      </w:pPr>
      <w:r>
        <w:t>12.5 Medidas de segurança urgentes</w:t>
      </w:r>
    </w:p>
    <w:p w14:paraId="605D63FC" w14:textId="77777777" w:rsidR="001535CD" w:rsidRPr="005057B1" w:rsidRDefault="001535CD" w:rsidP="005239E5">
      <w:pPr>
        <w:contextualSpacing/>
        <w:jc w:val="both"/>
        <w:rPr>
          <w:rFonts w:cs="Arial"/>
          <w:szCs w:val="22"/>
        </w:rPr>
      </w:pPr>
      <w:r>
        <w:t xml:space="preserve">O IC pode adotar medidas de segurança urgentes para garantir a segurança e a proteção dos participantes do </w:t>
      </w:r>
      <w:r w:rsidR="00E43DDD">
        <w:t>estudo</w:t>
      </w:r>
      <w:r>
        <w:t xml:space="preserve"> clínico contra qualquer perigo imediato a sua saúde e segurança. As medidas devem ser adotadas imediatamente. Neste caso, não é necessária a aprovação do CEP antes da aplicação des</w:t>
      </w:r>
      <w:r w:rsidR="007731B9">
        <w:t>s</w:t>
      </w:r>
      <w:r>
        <w:t>as medidas de segurança. Todavia, o IC tem a responsabilidade de informar o evento ao patrocinador e ao Comitê de Ética em Pesquisa em um prazo de três dias. O patrocinador deve receber uma cópia da correspondência referente a este assunto.</w:t>
      </w:r>
    </w:p>
    <w:p w14:paraId="79D1A11F" w14:textId="77777777" w:rsidR="001535CD" w:rsidRPr="005057B1" w:rsidRDefault="001535CD" w:rsidP="005239E5">
      <w:pPr>
        <w:ind w:left="540"/>
        <w:contextualSpacing/>
        <w:jc w:val="both"/>
        <w:rPr>
          <w:rFonts w:cs="Arial"/>
          <w:szCs w:val="22"/>
        </w:rPr>
      </w:pPr>
    </w:p>
    <w:p w14:paraId="7A1F15A6" w14:textId="2CF4401C" w:rsidR="001535CD" w:rsidRPr="00D343BA" w:rsidRDefault="001535CD" w:rsidP="005239E5">
      <w:pPr>
        <w:pStyle w:val="Heading2"/>
        <w:spacing w:before="0" w:after="0"/>
        <w:contextualSpacing/>
      </w:pPr>
      <w:r>
        <w:t>12.6 Relatório de segurança anual</w:t>
      </w:r>
    </w:p>
    <w:p w14:paraId="158E7705" w14:textId="56018CCA" w:rsidR="001535CD" w:rsidRPr="00F91D5E" w:rsidRDefault="001535CD" w:rsidP="005239E5">
      <w:pPr>
        <w:contextualSpacing/>
        <w:jc w:val="both"/>
        <w:rPr>
          <w:rFonts w:cs="Arial"/>
          <w:szCs w:val="22"/>
        </w:rPr>
      </w:pPr>
      <w:r>
        <w:t>O IC irá enviar o relatório anual de progresso ao CEP e ao patrocinador no Reino Unido. Os centros do estudo fora do Reino Unido irão enviar seus relatórios conforme as exigências de seus respectivos coordenadores nacionais com o suporte do grupo de gerenciamento do estudo.</w:t>
      </w:r>
    </w:p>
    <w:p w14:paraId="1578BC15" w14:textId="77777777" w:rsidR="001535CD" w:rsidRPr="005057B1" w:rsidRDefault="001535CD" w:rsidP="005239E5">
      <w:pPr>
        <w:contextualSpacing/>
        <w:jc w:val="both"/>
        <w:rPr>
          <w:rFonts w:cs="Arial"/>
          <w:szCs w:val="22"/>
        </w:rPr>
      </w:pPr>
    </w:p>
    <w:p w14:paraId="53D42D1F" w14:textId="77777777" w:rsidR="001535CD" w:rsidRPr="00F91D5E" w:rsidRDefault="001535CD" w:rsidP="005239E5">
      <w:pPr>
        <w:pStyle w:val="Heading2"/>
        <w:spacing w:before="0" w:after="0"/>
        <w:contextualSpacing/>
      </w:pPr>
      <w:bookmarkStart w:id="52" w:name="_Toc211145373"/>
      <w:r>
        <w:t>12.7 Visão geral das responsabilidades do relatório de segurança</w:t>
      </w:r>
      <w:bookmarkStart w:id="53" w:name="_Toc211145375"/>
      <w:bookmarkEnd w:id="52"/>
    </w:p>
    <w:p w14:paraId="0DD3E0A5" w14:textId="77777777" w:rsidR="001535CD" w:rsidRPr="00F91D5E" w:rsidRDefault="001535CD" w:rsidP="005239E5">
      <w:pPr>
        <w:contextualSpacing/>
        <w:jc w:val="both"/>
        <w:rPr>
          <w:rFonts w:cs="Arial"/>
          <w:szCs w:val="22"/>
        </w:rPr>
      </w:pPr>
      <w:bookmarkStart w:id="54" w:name="_Toc331068263"/>
      <w:bookmarkStart w:id="55" w:name="_Toc331068291"/>
      <w:bookmarkStart w:id="56" w:name="_Toc331068802"/>
      <w:bookmarkStart w:id="57" w:name="_Toc331147399"/>
      <w:bookmarkEnd w:id="53"/>
      <w:r>
        <w:t xml:space="preserve">O IC é quem tem a responsabilidade geral de supervisão. O IC irá garantir que </w:t>
      </w:r>
      <w:r w:rsidR="00751CEA">
        <w:t>o monitoramento de</w:t>
      </w:r>
      <w:r>
        <w:t xml:space="preserve"> segurança e a apresentação de relatórios seja</w:t>
      </w:r>
      <w:r w:rsidR="0096090C">
        <w:t>m conduzidos</w:t>
      </w:r>
      <w:r>
        <w:t xml:space="preserve"> em conformidade com as exigências do patrocinador.</w:t>
      </w:r>
      <w:bookmarkEnd w:id="54"/>
      <w:bookmarkEnd w:id="55"/>
      <w:bookmarkEnd w:id="56"/>
      <w:bookmarkEnd w:id="57"/>
      <w:r>
        <w:t xml:space="preserve"> </w:t>
      </w:r>
    </w:p>
    <w:p w14:paraId="145DE061" w14:textId="77777777" w:rsidR="00A5553D" w:rsidRPr="005057B1" w:rsidRDefault="00A5553D" w:rsidP="005239E5">
      <w:pPr>
        <w:contextualSpacing/>
        <w:jc w:val="both"/>
        <w:rPr>
          <w:rFonts w:cs="Arial"/>
          <w:szCs w:val="22"/>
        </w:rPr>
      </w:pPr>
    </w:p>
    <w:p w14:paraId="707592D2" w14:textId="77777777" w:rsidR="001535CD" w:rsidRPr="00422C2D" w:rsidRDefault="001535CD" w:rsidP="005239E5">
      <w:pPr>
        <w:pStyle w:val="Heading1"/>
        <w:spacing w:before="0" w:after="0"/>
        <w:contextualSpacing/>
        <w:rPr>
          <w:u w:val="single"/>
        </w:rPr>
      </w:pPr>
      <w:bookmarkStart w:id="58" w:name="_Toc331159162"/>
      <w:bookmarkStart w:id="59" w:name="_Toc466030509"/>
      <w:bookmarkStart w:id="60" w:name="_Toc508183530"/>
      <w:r>
        <w:t>13.</w:t>
      </w:r>
      <w:r>
        <w:tab/>
        <w:t>MONITORAMENTO E AUDITORIA</w:t>
      </w:r>
      <w:bookmarkEnd w:id="58"/>
      <w:bookmarkEnd w:id="59"/>
      <w:bookmarkEnd w:id="60"/>
    </w:p>
    <w:p w14:paraId="698E7B39" w14:textId="77777777" w:rsidR="00E343BF" w:rsidRPr="00CB57A3" w:rsidRDefault="001535CD" w:rsidP="00557BD3">
      <w:pPr>
        <w:widowControl w:val="0"/>
        <w:autoSpaceDE w:val="0"/>
        <w:autoSpaceDN w:val="0"/>
        <w:adjustRightInd w:val="0"/>
        <w:contextualSpacing/>
        <w:jc w:val="both"/>
        <w:rPr>
          <w:rFonts w:cs="Arial"/>
          <w:szCs w:val="22"/>
        </w:rPr>
      </w:pPr>
      <w:r>
        <w:t xml:space="preserve">O patrocinador será o supervisor da realização do </w:t>
      </w:r>
      <w:r w:rsidR="00E43DDD">
        <w:t>estudo</w:t>
      </w:r>
      <w:r>
        <w:t xml:space="preserve"> clínico em cada centro do estudo. A equipe do </w:t>
      </w:r>
      <w:r w:rsidR="00E43DDD">
        <w:t>estudo</w:t>
      </w:r>
      <w:r>
        <w:t xml:space="preserve"> clínico assumirá a</w:t>
      </w:r>
      <w:r w:rsidR="006D7458">
        <w:t>s</w:t>
      </w:r>
      <w:r>
        <w:t xml:space="preserve"> res</w:t>
      </w:r>
      <w:r w:rsidR="0096090C">
        <w:t>ponsabilidade</w:t>
      </w:r>
      <w:r w:rsidR="006D7458">
        <w:t>s</w:t>
      </w:r>
      <w:r>
        <w:t xml:space="preserve"> diária</w:t>
      </w:r>
      <w:r w:rsidR="006D7458">
        <w:t>s</w:t>
      </w:r>
      <w:r>
        <w:t xml:space="preserve"> de garantir o cumprimento das exigências das BPC no tocante ao controle de qualidade e a garantia de qualidade dos dados coletados bem como a apresentação de relatórios de segurança. O grupo de gerenciamento do </w:t>
      </w:r>
      <w:r w:rsidR="00E43DDD">
        <w:t>estudo</w:t>
      </w:r>
      <w:r>
        <w:t xml:space="preserve"> clínico OPTIMISE II irá se comunicar estreitamente com os centros do estudo individuais e com os representantes do patrocinador para assegurar que es</w:t>
      </w:r>
      <w:r w:rsidR="002F5F62">
        <w:t>s</w:t>
      </w:r>
      <w:r>
        <w:t>es processos sejam efetivos. Será criado um Comitê de Ética e Monitoramento de Dados (CEMD) (consulte a seção 14.3). O gerente de garantia de qualidade do PCTU fará um estudo de avaliação de risco em colaboração com o IC. Com base na avaliação de risco</w:t>
      </w:r>
      <w:r w:rsidR="003A6723">
        <w:t>,</w:t>
      </w:r>
      <w:r>
        <w:t xml:space="preserve"> será feito um plano de auditoria e monitoramento do estudo em conformidade com os SOPs do PCTU. Qualquer alteração no plano de monitoramento deverá ser decidida e aprovada pelo gerente de garantia de qualidade do PCTU e pelo IC.</w:t>
      </w:r>
    </w:p>
    <w:p w14:paraId="1A1A1A24" w14:textId="77777777" w:rsidR="00E92DEB" w:rsidRDefault="00E92DEB" w:rsidP="005239E5">
      <w:pPr>
        <w:widowControl w:val="0"/>
        <w:autoSpaceDE w:val="0"/>
        <w:autoSpaceDN w:val="0"/>
        <w:adjustRightInd w:val="0"/>
        <w:contextualSpacing/>
        <w:jc w:val="both"/>
        <w:rPr>
          <w:rFonts w:cs="Arial"/>
          <w:szCs w:val="22"/>
        </w:rPr>
      </w:pPr>
    </w:p>
    <w:p w14:paraId="7669A826" w14:textId="77777777" w:rsidR="001535CD" w:rsidRDefault="001535CD" w:rsidP="005239E5">
      <w:pPr>
        <w:pStyle w:val="Heading2"/>
        <w:spacing w:before="0" w:after="0"/>
        <w:contextualSpacing/>
      </w:pPr>
      <w:r>
        <w:t xml:space="preserve">13.1 Monitorando a segurança e o bem-estar dos participantes do </w:t>
      </w:r>
      <w:r w:rsidR="00E43DDD">
        <w:t>estudo</w:t>
      </w:r>
      <w:r>
        <w:t xml:space="preserve"> clínico</w:t>
      </w:r>
    </w:p>
    <w:p w14:paraId="4E64A82C" w14:textId="77777777" w:rsidR="001535CD" w:rsidRDefault="001535CD" w:rsidP="005239E5">
      <w:pPr>
        <w:widowControl w:val="0"/>
        <w:autoSpaceDE w:val="0"/>
        <w:autoSpaceDN w:val="0"/>
        <w:adjustRightInd w:val="0"/>
        <w:contextualSpacing/>
        <w:jc w:val="both"/>
        <w:rPr>
          <w:rFonts w:cs="Arial"/>
          <w:szCs w:val="22"/>
        </w:rPr>
      </w:pPr>
      <w:r>
        <w:t xml:space="preserve">Os departamentos de Pesquisa e Desenvolvimento em cada centro do </w:t>
      </w:r>
      <w:r w:rsidR="00E43DDD">
        <w:t>estudo</w:t>
      </w:r>
      <w:r>
        <w:t xml:space="preserve"> clínico deverão realizar auditorias da prática da pesquisa regularmente. Existem sistemas </w:t>
      </w:r>
      <w:r w:rsidR="002F5F62">
        <w:t xml:space="preserve">implementados </w:t>
      </w:r>
      <w:r>
        <w:t xml:space="preserve">para assegurar que todos os IPs e seus designados sejam capazes de demonstrar que estão qualificados </w:t>
      </w:r>
      <w:r w:rsidR="002F5F62">
        <w:t>por grau de ensino</w:t>
      </w:r>
      <w:r>
        <w:t xml:space="preserve">, treinamento ou experiência para cumprir suas funções e que existem procedimentos que garantirão a qualidade de cada aspecto do </w:t>
      </w:r>
      <w:r w:rsidR="00E43DDD">
        <w:t>estudo</w:t>
      </w:r>
      <w:r>
        <w:t xml:space="preserve"> clínico. Na maioria dos casos, a intervenção dura</w:t>
      </w:r>
      <w:r w:rsidR="00F41502">
        <w:t>rá</w:t>
      </w:r>
      <w:r>
        <w:t xml:space="preserve"> menos de 12 horas, de modo que é extremamente improvável que surjam novas informações de segurança durante o período de intervenção. No entanto, caso is</w:t>
      </w:r>
      <w:r w:rsidR="002F5F62">
        <w:t>s</w:t>
      </w:r>
      <w:r>
        <w:t xml:space="preserve">o ocorra, os participantes serão informados e questionados se desejam interromper a intervenção. Se os sujeitos desejarem continuar participando do </w:t>
      </w:r>
      <w:r w:rsidR="00E43DDD">
        <w:t>estudo</w:t>
      </w:r>
      <w:r>
        <w:t xml:space="preserve"> clínico, serão solicitados formalmente a assinar um folheto informativo para o paciente e um termo de consentimento livre e esclarecido revisados e aprovados. Um encerramento antecipado do </w:t>
      </w:r>
      <w:r w:rsidR="00E43DDD">
        <w:t>estudo</w:t>
      </w:r>
      <w:r>
        <w:t xml:space="preserve"> clínico por motivos de segurança será realizado através do CEMD. A </w:t>
      </w:r>
      <w:r w:rsidR="0096090C">
        <w:t xml:space="preserve">responsabilidade da </w:t>
      </w:r>
      <w:r>
        <w:t xml:space="preserve">gestão diária e o monitoramento dos centros do estudo individuais </w:t>
      </w:r>
      <w:r w:rsidR="0096090C">
        <w:t>será do g</w:t>
      </w:r>
      <w:r>
        <w:t xml:space="preserve">rupo de gerenciamento do </w:t>
      </w:r>
      <w:r w:rsidR="00E43DDD">
        <w:t>estudo</w:t>
      </w:r>
      <w:r>
        <w:t xml:space="preserve"> clínico, composto pelo investigador-chefe e sua equipe de apoio. Eles se reunirão regularmente para discutir os problemas do </w:t>
      </w:r>
      <w:r w:rsidR="00E43DDD">
        <w:t>estudo</w:t>
      </w:r>
      <w:r>
        <w:t xml:space="preserve"> clínico.</w:t>
      </w:r>
    </w:p>
    <w:p w14:paraId="06948F42" w14:textId="77777777" w:rsidR="00E92DEB" w:rsidRDefault="00E92DEB" w:rsidP="005239E5">
      <w:pPr>
        <w:widowControl w:val="0"/>
        <w:autoSpaceDE w:val="0"/>
        <w:autoSpaceDN w:val="0"/>
        <w:adjustRightInd w:val="0"/>
        <w:contextualSpacing/>
        <w:jc w:val="both"/>
        <w:rPr>
          <w:rFonts w:cs="Arial"/>
          <w:szCs w:val="22"/>
        </w:rPr>
      </w:pPr>
    </w:p>
    <w:p w14:paraId="0C488057" w14:textId="77777777" w:rsidR="001535CD" w:rsidRDefault="001535CD" w:rsidP="005239E5">
      <w:pPr>
        <w:pStyle w:val="Heading2"/>
        <w:spacing w:before="0" w:after="0"/>
        <w:contextualSpacing/>
      </w:pPr>
      <w:r>
        <w:t>13.2 Monitor</w:t>
      </w:r>
      <w:r w:rsidR="00F41502">
        <w:t>amento</w:t>
      </w:r>
      <w:r>
        <w:t xml:space="preserve"> da segurança dos investigadores</w:t>
      </w:r>
    </w:p>
    <w:p w14:paraId="54704745" w14:textId="77777777" w:rsidR="001535CD" w:rsidRPr="005D2B7E" w:rsidRDefault="001535CD" w:rsidP="005239E5">
      <w:pPr>
        <w:widowControl w:val="0"/>
        <w:autoSpaceDE w:val="0"/>
        <w:autoSpaceDN w:val="0"/>
        <w:adjustRightInd w:val="0"/>
        <w:contextualSpacing/>
        <w:jc w:val="both"/>
        <w:rPr>
          <w:rFonts w:cs="Arial"/>
          <w:szCs w:val="22"/>
        </w:rPr>
      </w:pPr>
      <w:r>
        <w:t xml:space="preserve">Cada centro do estudo possui políticas de segurança e saúde para os </w:t>
      </w:r>
      <w:r w:rsidR="00F41502">
        <w:t xml:space="preserve">seus </w:t>
      </w:r>
      <w:r>
        <w:t xml:space="preserve">funcionários. Todos os funcionários deverão assegurar-se de </w:t>
      </w:r>
      <w:r w:rsidR="00F41502">
        <w:t>seguir</w:t>
      </w:r>
      <w:r>
        <w:t xml:space="preserve"> as normas de segurança e saúde referentes à sua área de trabalho. O IP irá garantir que todos os funcionários foram adequadamente treinados para a realização de suas tarefas específicas. Antes de ingressar no </w:t>
      </w:r>
      <w:r w:rsidR="00E43DDD">
        <w:t>estudo</w:t>
      </w:r>
      <w:r>
        <w:t xml:space="preserve">, a equipe do </w:t>
      </w:r>
      <w:r w:rsidR="00E43DDD">
        <w:t>estudo</w:t>
      </w:r>
      <w:r>
        <w:t xml:space="preserve"> clínico terá completado um treinamento sobre BPC e consentimento.</w:t>
      </w:r>
    </w:p>
    <w:p w14:paraId="726B0EB6" w14:textId="77777777" w:rsidR="001535CD" w:rsidRDefault="001535CD" w:rsidP="005239E5">
      <w:pPr>
        <w:contextualSpacing/>
        <w:rPr>
          <w:b/>
          <w:kern w:val="32"/>
          <w:szCs w:val="20"/>
        </w:rPr>
      </w:pPr>
      <w:bookmarkStart w:id="61" w:name="_Toc331159163"/>
      <w:bookmarkStart w:id="62" w:name="_Toc331147402"/>
    </w:p>
    <w:p w14:paraId="1020447F" w14:textId="77777777" w:rsidR="001535CD" w:rsidRDefault="001535CD" w:rsidP="005239E5">
      <w:pPr>
        <w:pStyle w:val="Heading1"/>
        <w:spacing w:before="0" w:after="0"/>
        <w:ind w:left="0" w:firstLine="0"/>
        <w:contextualSpacing/>
      </w:pPr>
      <w:bookmarkStart w:id="63" w:name="_Toc466030510"/>
      <w:bookmarkStart w:id="64" w:name="_Toc508183531"/>
      <w:r>
        <w:t>14.</w:t>
      </w:r>
      <w:r>
        <w:tab/>
        <w:t>GEREN</w:t>
      </w:r>
      <w:r w:rsidR="0096090C">
        <w:t xml:space="preserve">CIAMENTO E COMITÊS DO </w:t>
      </w:r>
      <w:r w:rsidR="00E43DDD">
        <w:t>ESTUDO</w:t>
      </w:r>
      <w:r w:rsidR="0096090C">
        <w:t xml:space="preserve"> CLÍ</w:t>
      </w:r>
      <w:r>
        <w:t>NICO</w:t>
      </w:r>
      <w:bookmarkEnd w:id="61"/>
      <w:bookmarkEnd w:id="63"/>
      <w:bookmarkEnd w:id="64"/>
    </w:p>
    <w:p w14:paraId="40F070A9" w14:textId="77777777" w:rsidR="008A50DB" w:rsidRDefault="008A50DB" w:rsidP="005239E5">
      <w:pPr>
        <w:pStyle w:val="Heading2"/>
        <w:spacing w:before="0" w:after="0"/>
        <w:contextualSpacing/>
      </w:pPr>
    </w:p>
    <w:p w14:paraId="631EE9E5" w14:textId="77777777" w:rsidR="001535CD" w:rsidRPr="004A6786" w:rsidRDefault="001535CD" w:rsidP="005239E5">
      <w:pPr>
        <w:pStyle w:val="Heading2"/>
        <w:spacing w:before="0" w:after="0"/>
        <w:contextualSpacing/>
      </w:pPr>
      <w:r>
        <w:t xml:space="preserve">14.1 Grupo de gerenciamento do </w:t>
      </w:r>
      <w:r w:rsidR="00E43DDD">
        <w:t>estudo</w:t>
      </w:r>
      <w:r>
        <w:t xml:space="preserve"> clínico</w:t>
      </w:r>
    </w:p>
    <w:p w14:paraId="33FFE29D" w14:textId="77777777" w:rsidR="001535CD" w:rsidRDefault="001535CD" w:rsidP="005239E5">
      <w:pPr>
        <w:autoSpaceDE w:val="0"/>
        <w:autoSpaceDN w:val="0"/>
        <w:adjustRightInd w:val="0"/>
        <w:contextualSpacing/>
        <w:jc w:val="both"/>
        <w:rPr>
          <w:rFonts w:cs="Arial"/>
          <w:color w:val="000000"/>
          <w:szCs w:val="22"/>
        </w:rPr>
      </w:pPr>
      <w:r>
        <w:rPr>
          <w:color w:val="000000"/>
        </w:rPr>
        <w:t xml:space="preserve">A administração diária do </w:t>
      </w:r>
      <w:r w:rsidR="00E43DDD">
        <w:rPr>
          <w:color w:val="000000"/>
        </w:rPr>
        <w:t>estudo</w:t>
      </w:r>
      <w:r>
        <w:rPr>
          <w:color w:val="000000"/>
        </w:rPr>
        <w:t xml:space="preserve"> clínico será coordenada por um grupo de gerenciamento do </w:t>
      </w:r>
      <w:r w:rsidR="00E43DDD">
        <w:rPr>
          <w:color w:val="000000"/>
        </w:rPr>
        <w:t>estudo</w:t>
      </w:r>
      <w:r>
        <w:rPr>
          <w:color w:val="000000"/>
        </w:rPr>
        <w:t xml:space="preserve"> clínico formado pelo investigador-chefe, sua equipe de apoio e membros do PCTU.</w:t>
      </w:r>
    </w:p>
    <w:p w14:paraId="7AA57481" w14:textId="77777777" w:rsidR="001535CD" w:rsidRDefault="001535CD" w:rsidP="005239E5">
      <w:pPr>
        <w:autoSpaceDE w:val="0"/>
        <w:autoSpaceDN w:val="0"/>
        <w:adjustRightInd w:val="0"/>
        <w:contextualSpacing/>
        <w:jc w:val="both"/>
        <w:rPr>
          <w:rFonts w:cs="Arial"/>
          <w:color w:val="000000"/>
          <w:szCs w:val="22"/>
        </w:rPr>
      </w:pPr>
    </w:p>
    <w:p w14:paraId="3873600A" w14:textId="77777777" w:rsidR="001535CD" w:rsidRPr="00F35B75" w:rsidRDefault="001535CD" w:rsidP="00F62DAA">
      <w:pPr>
        <w:pStyle w:val="Heading2"/>
        <w:numPr>
          <w:ilvl w:val="1"/>
          <w:numId w:val="32"/>
        </w:numPr>
        <w:spacing w:before="0" w:after="0"/>
        <w:contextualSpacing/>
      </w:pPr>
      <w:r>
        <w:t xml:space="preserve">Comitê de orientação do </w:t>
      </w:r>
      <w:r w:rsidR="00E43DDD">
        <w:t>estudo</w:t>
      </w:r>
      <w:r>
        <w:t xml:space="preserve"> clínico</w:t>
      </w:r>
    </w:p>
    <w:p w14:paraId="3D383E1E" w14:textId="77777777" w:rsidR="001535CD" w:rsidRDefault="001535CD" w:rsidP="00F62DAA">
      <w:pPr>
        <w:widowControl w:val="0"/>
        <w:autoSpaceDE w:val="0"/>
        <w:autoSpaceDN w:val="0"/>
        <w:adjustRightInd w:val="0"/>
        <w:contextualSpacing/>
        <w:jc w:val="both"/>
        <w:rPr>
          <w:rFonts w:cs="Arial"/>
          <w:szCs w:val="22"/>
        </w:rPr>
      </w:pPr>
      <w:r>
        <w:t xml:space="preserve">O comitê de orientação do </w:t>
      </w:r>
      <w:r w:rsidR="00E43DDD">
        <w:t>estudo</w:t>
      </w:r>
      <w:r>
        <w:t xml:space="preserve"> clínico irá supervisionar o </w:t>
      </w:r>
      <w:r w:rsidR="00E43DDD">
        <w:t>estudo</w:t>
      </w:r>
      <w:r>
        <w:t xml:space="preserve"> clínico e será formado por vários médicos e participantes de </w:t>
      </w:r>
      <w:r w:rsidR="00E43DDD">
        <w:t>estudo</w:t>
      </w:r>
      <w:r>
        <w:t>s clínicos independe</w:t>
      </w:r>
      <w:r w:rsidR="0096090C">
        <w:t>ntes, representantes leigos, co</w:t>
      </w:r>
      <w:r>
        <w:t>investigadores e um presidente independente.</w:t>
      </w:r>
    </w:p>
    <w:p w14:paraId="31B3E09D" w14:textId="77777777" w:rsidR="001535CD" w:rsidRDefault="001535CD" w:rsidP="005239E5">
      <w:pPr>
        <w:pStyle w:val="ListParagraph"/>
        <w:widowControl w:val="0"/>
        <w:autoSpaceDE w:val="0"/>
        <w:autoSpaceDN w:val="0"/>
        <w:adjustRightInd w:val="0"/>
        <w:jc w:val="both"/>
        <w:rPr>
          <w:rFonts w:cs="Arial"/>
          <w:szCs w:val="22"/>
        </w:rPr>
      </w:pPr>
    </w:p>
    <w:p w14:paraId="5CBCA719" w14:textId="77777777" w:rsidR="001535CD" w:rsidRPr="005D2B7E" w:rsidRDefault="001535CD" w:rsidP="005239E5">
      <w:pPr>
        <w:widowControl w:val="0"/>
        <w:autoSpaceDE w:val="0"/>
        <w:autoSpaceDN w:val="0"/>
        <w:adjustRightInd w:val="0"/>
        <w:contextualSpacing/>
        <w:jc w:val="both"/>
        <w:rPr>
          <w:rFonts w:cs="Arial"/>
          <w:szCs w:val="22"/>
        </w:rPr>
      </w:pPr>
      <w:r>
        <w:t>Serão feitas reuniões em intervalos regulares</w:t>
      </w:r>
      <w:r w:rsidR="00CA07A7">
        <w:t>,</w:t>
      </w:r>
      <w:r>
        <w:t xml:space="preserve"> </w:t>
      </w:r>
      <w:r w:rsidR="00435356">
        <w:t xml:space="preserve">determinadas </w:t>
      </w:r>
      <w:r>
        <w:t xml:space="preserve">por necessidade, mas nunca menos do que uma reunião por ano. O comitê de orientação do </w:t>
      </w:r>
      <w:r w:rsidR="00E43DDD">
        <w:t>estudo</w:t>
      </w:r>
      <w:r>
        <w:t xml:space="preserve"> clínico tem a responsabilidade de:</w:t>
      </w:r>
    </w:p>
    <w:p w14:paraId="4C634F89" w14:textId="1482FA67" w:rsidR="001535CD" w:rsidRPr="00260EB2"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 xml:space="preserve">aprovar o protocolo final do </w:t>
      </w:r>
      <w:r w:rsidR="00E43DDD">
        <w:t>estudo</w:t>
      </w:r>
      <w:r>
        <w:t xml:space="preserve"> clínico;</w:t>
      </w:r>
    </w:p>
    <w:p w14:paraId="18EF125D" w14:textId="7FCCECCC" w:rsidR="001535CD" w:rsidRPr="00260EB2"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tomar as decisões principais como a necessidade de modificar o protocolo por algum motivo;</w:t>
      </w:r>
    </w:p>
    <w:p w14:paraId="26A03A3A" w14:textId="73A554D4" w:rsidR="001535CD" w:rsidRPr="00260EB2"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 xml:space="preserve">monitorar e supervisionar o progresso do </w:t>
      </w:r>
      <w:r w:rsidR="00E43DDD">
        <w:t>estudo</w:t>
      </w:r>
      <w:r>
        <w:t xml:space="preserve"> clínico;</w:t>
      </w:r>
    </w:p>
    <w:p w14:paraId="6BE67EA3" w14:textId="28B439A2" w:rsidR="001535CD" w:rsidRPr="00260EB2"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revisar as informações relevantes vindas de outras fontes;</w:t>
      </w:r>
    </w:p>
    <w:p w14:paraId="04951C91" w14:textId="2513D5FE" w:rsidR="001535CD" w:rsidRPr="00260EB2"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 xml:space="preserve">considerar as recomendações do </w:t>
      </w:r>
      <w:r w:rsidR="002F5F62">
        <w:t xml:space="preserve">Comitê de Ética e Monitoramento de Dados (CEMD) </w:t>
      </w:r>
      <w:r>
        <w:t>e</w:t>
      </w:r>
    </w:p>
    <w:p w14:paraId="6775A923" w14:textId="77777777" w:rsidR="001535CD" w:rsidRDefault="001535CD" w:rsidP="00C917B1">
      <w:pPr>
        <w:pStyle w:val="ListParagraph"/>
        <w:widowControl w:val="0"/>
        <w:numPr>
          <w:ilvl w:val="0"/>
          <w:numId w:val="5"/>
        </w:numPr>
        <w:tabs>
          <w:tab w:val="left" w:pos="220"/>
          <w:tab w:val="left" w:pos="720"/>
        </w:tabs>
        <w:autoSpaceDE w:val="0"/>
        <w:autoSpaceDN w:val="0"/>
        <w:adjustRightInd w:val="0"/>
        <w:jc w:val="both"/>
        <w:rPr>
          <w:rFonts w:cs="Arial"/>
          <w:szCs w:val="22"/>
        </w:rPr>
      </w:pPr>
      <w:r>
        <w:t xml:space="preserve">informar e aconselhar </w:t>
      </w:r>
      <w:r w:rsidR="00763596">
        <w:t xml:space="preserve">sobre </w:t>
      </w:r>
      <w:r>
        <w:t xml:space="preserve">todos os aspectos do </w:t>
      </w:r>
      <w:r w:rsidR="00E43DDD">
        <w:t>estudo</w:t>
      </w:r>
      <w:r>
        <w:t xml:space="preserve"> clínico</w:t>
      </w:r>
    </w:p>
    <w:p w14:paraId="27E681FA" w14:textId="77777777" w:rsidR="001535CD" w:rsidRDefault="001535CD" w:rsidP="005239E5">
      <w:pPr>
        <w:pStyle w:val="ListParagraph"/>
        <w:widowControl w:val="0"/>
        <w:tabs>
          <w:tab w:val="left" w:pos="220"/>
          <w:tab w:val="left" w:pos="720"/>
        </w:tabs>
        <w:autoSpaceDE w:val="0"/>
        <w:autoSpaceDN w:val="0"/>
        <w:adjustRightInd w:val="0"/>
        <w:jc w:val="both"/>
        <w:rPr>
          <w:rFonts w:cs="Arial"/>
          <w:szCs w:val="22"/>
        </w:rPr>
      </w:pPr>
    </w:p>
    <w:p w14:paraId="51151AA0" w14:textId="05053876" w:rsidR="001535CD" w:rsidRDefault="001535CD" w:rsidP="005239E5">
      <w:pPr>
        <w:pStyle w:val="Heading2"/>
        <w:spacing w:before="0" w:after="0"/>
        <w:contextualSpacing/>
      </w:pPr>
      <w:r>
        <w:t>14.3 Comitê de Ética e Monitoramento de Dados</w:t>
      </w:r>
    </w:p>
    <w:p w14:paraId="31AB5EEB" w14:textId="77777777" w:rsidR="001535CD" w:rsidRDefault="001535CD" w:rsidP="005239E5">
      <w:pPr>
        <w:widowControl w:val="0"/>
        <w:tabs>
          <w:tab w:val="left" w:pos="0"/>
          <w:tab w:val="left" w:pos="220"/>
        </w:tabs>
        <w:autoSpaceDE w:val="0"/>
        <w:autoSpaceDN w:val="0"/>
        <w:adjustRightInd w:val="0"/>
        <w:contextualSpacing/>
        <w:jc w:val="both"/>
        <w:rPr>
          <w:rFonts w:cs="Arial"/>
          <w:szCs w:val="22"/>
        </w:rPr>
      </w:pPr>
      <w:r>
        <w:t xml:space="preserve">O Comitê de Ética e Monitoramento de Dados (CEMD) é independente da equipe do </w:t>
      </w:r>
      <w:r w:rsidR="00E43DDD">
        <w:t>estudo</w:t>
      </w:r>
      <w:r>
        <w:t xml:space="preserve"> clínico e é formado por dois médicos com experiência na realização de </w:t>
      </w:r>
      <w:r w:rsidR="00E43DDD">
        <w:t>estudo</w:t>
      </w:r>
      <w:r>
        <w:t xml:space="preserve">s clínicos e um estatístico. O comitê irá estabelecer a conduta e o escopo do </w:t>
      </w:r>
      <w:r w:rsidR="00E43DDD">
        <w:t>estudo</w:t>
      </w:r>
      <w:r>
        <w:t xml:space="preserve"> clínico, incluindo o processo </w:t>
      </w:r>
      <w:r w:rsidR="0096090C">
        <w:t>de encerramento antecipado.</w:t>
      </w:r>
      <w:r>
        <w:t xml:space="preserve"> Durante o período de recrutamento do </w:t>
      </w:r>
      <w:r w:rsidR="00E43DDD">
        <w:t>estudo</w:t>
      </w:r>
      <w:r>
        <w:t xml:space="preserve"> clínico</w:t>
      </w:r>
      <w:r w:rsidR="00F67D64">
        <w:t>,</w:t>
      </w:r>
      <w:r>
        <w:t xml:space="preserve"> o CEMD irá monitorar os dados de segurança e reunir-se rotineiramente para avaliar as análises de segurança. O </w:t>
      </w:r>
      <w:r w:rsidR="00E43DDD">
        <w:t>estudo</w:t>
      </w:r>
      <w:r>
        <w:t xml:space="preserve"> clínico será encerrado antecipadamente se existirem evidências de </w:t>
      </w:r>
      <w:r w:rsidR="000D7110">
        <w:t xml:space="preserve">danos </w:t>
      </w:r>
      <w:r>
        <w:t xml:space="preserve">no grupo </w:t>
      </w:r>
      <w:r w:rsidR="00F67D64">
        <w:t xml:space="preserve">de </w:t>
      </w:r>
      <w:r>
        <w:t>intervenção ou se o recrutamento for em vão. O CEMD atua primariamente como um verificador da segurança revisando os eventos adversos.</w:t>
      </w:r>
    </w:p>
    <w:p w14:paraId="16651B57" w14:textId="77777777" w:rsidR="001535CD" w:rsidRDefault="001535CD" w:rsidP="005239E5">
      <w:pPr>
        <w:contextualSpacing/>
        <w:rPr>
          <w:b/>
          <w:kern w:val="32"/>
          <w:szCs w:val="20"/>
        </w:rPr>
      </w:pPr>
      <w:bookmarkStart w:id="65" w:name="_Toc331159164"/>
      <w:bookmarkEnd w:id="62"/>
    </w:p>
    <w:p w14:paraId="3FD69466" w14:textId="77777777" w:rsidR="001535CD" w:rsidRDefault="001535CD" w:rsidP="005239E5">
      <w:pPr>
        <w:pStyle w:val="Heading1"/>
        <w:spacing w:before="0" w:after="0"/>
        <w:ind w:left="0" w:firstLine="0"/>
        <w:contextualSpacing/>
      </w:pPr>
      <w:bookmarkStart w:id="66" w:name="_Toc466030511"/>
      <w:bookmarkStart w:id="67" w:name="_Toc508183532"/>
      <w:r>
        <w:t>15.</w:t>
      </w:r>
      <w:r>
        <w:tab/>
        <w:t>FINANÇAS E FINANCIAMENTO</w:t>
      </w:r>
      <w:bookmarkEnd w:id="65"/>
      <w:bookmarkEnd w:id="66"/>
      <w:bookmarkEnd w:id="67"/>
    </w:p>
    <w:p w14:paraId="2607E4F3" w14:textId="77777777" w:rsidR="001535CD" w:rsidRDefault="0065194E" w:rsidP="005239E5">
      <w:pPr>
        <w:autoSpaceDE w:val="0"/>
        <w:autoSpaceDN w:val="0"/>
        <w:adjustRightInd w:val="0"/>
        <w:contextualSpacing/>
        <w:jc w:val="both"/>
        <w:outlineLvl w:val="0"/>
        <w:rPr>
          <w:rFonts w:cs="Arial"/>
          <w:szCs w:val="22"/>
        </w:rPr>
      </w:pPr>
      <w:r>
        <w:t xml:space="preserve">O </w:t>
      </w:r>
      <w:r w:rsidR="00E43DDD">
        <w:t>estudo</w:t>
      </w:r>
      <w:r>
        <w:t xml:space="preserve"> clínico OPTIMISE II será financiado pela Edwards Lifesciences e </w:t>
      </w:r>
      <w:r w:rsidR="00232F63">
        <w:t>pel</w:t>
      </w:r>
      <w:r>
        <w:t xml:space="preserve">o </w:t>
      </w:r>
      <w:r w:rsidRPr="00E069DC">
        <w:rPr>
          <w:i/>
        </w:rPr>
        <w:t>National Institute for Health Research</w:t>
      </w:r>
      <w:r>
        <w:t xml:space="preserve"> (Reino Unido).</w:t>
      </w:r>
    </w:p>
    <w:p w14:paraId="17E6F43A" w14:textId="77777777" w:rsidR="004668D2" w:rsidRDefault="004668D2" w:rsidP="005239E5">
      <w:pPr>
        <w:pStyle w:val="Heading1"/>
        <w:spacing w:before="0" w:after="0"/>
        <w:contextualSpacing/>
      </w:pPr>
      <w:bookmarkStart w:id="68" w:name="_Toc331159165"/>
    </w:p>
    <w:p w14:paraId="12342685" w14:textId="77777777" w:rsidR="001535CD" w:rsidRPr="004A6786" w:rsidRDefault="001535CD" w:rsidP="005239E5">
      <w:pPr>
        <w:pStyle w:val="Heading1"/>
        <w:spacing w:before="0" w:after="0"/>
        <w:contextualSpacing/>
      </w:pPr>
      <w:bookmarkStart w:id="69" w:name="_Toc466030512"/>
      <w:bookmarkStart w:id="70" w:name="_Toc508183533"/>
      <w:r>
        <w:t>16.</w:t>
      </w:r>
      <w:r>
        <w:tab/>
        <w:t>PATROCÍNIO E RESPONSABILIDADE</w:t>
      </w:r>
      <w:bookmarkEnd w:id="69"/>
      <w:bookmarkEnd w:id="70"/>
      <w:r>
        <w:t xml:space="preserve"> </w:t>
      </w:r>
      <w:bookmarkEnd w:id="68"/>
    </w:p>
    <w:p w14:paraId="75B680CC" w14:textId="77777777" w:rsidR="001535CD" w:rsidRDefault="001535CD" w:rsidP="005239E5">
      <w:pPr>
        <w:autoSpaceDE w:val="0"/>
        <w:autoSpaceDN w:val="0"/>
        <w:adjustRightInd w:val="0"/>
        <w:contextualSpacing/>
        <w:jc w:val="both"/>
        <w:outlineLvl w:val="0"/>
        <w:rPr>
          <w:rFonts w:cs="Arial"/>
          <w:szCs w:val="22"/>
        </w:rPr>
      </w:pPr>
      <w:r>
        <w:t>A Queen Mary University of London</w:t>
      </w:r>
      <w:r>
        <w:rPr>
          <w:b/>
        </w:rPr>
        <w:t xml:space="preserve"> </w:t>
      </w:r>
      <w:r>
        <w:t xml:space="preserve">será o patrocinador do </w:t>
      </w:r>
      <w:r w:rsidR="00E43DDD">
        <w:t>estudo</w:t>
      </w:r>
      <w:r>
        <w:t xml:space="preserve"> clínico e irá oferecer o seguro de responsabilidade civil.</w:t>
      </w:r>
    </w:p>
    <w:p w14:paraId="7578130F" w14:textId="77777777" w:rsidR="004668D2" w:rsidRPr="00995931" w:rsidRDefault="004668D2" w:rsidP="005239E5">
      <w:pPr>
        <w:autoSpaceDE w:val="0"/>
        <w:autoSpaceDN w:val="0"/>
        <w:adjustRightInd w:val="0"/>
        <w:contextualSpacing/>
        <w:jc w:val="both"/>
        <w:outlineLvl w:val="0"/>
        <w:rPr>
          <w:rFonts w:cs="Arial"/>
          <w:szCs w:val="22"/>
        </w:rPr>
      </w:pPr>
    </w:p>
    <w:p w14:paraId="1A801785" w14:textId="77777777" w:rsidR="001535CD" w:rsidRDefault="001535CD" w:rsidP="005239E5">
      <w:pPr>
        <w:pStyle w:val="Heading1"/>
        <w:spacing w:before="0" w:after="0"/>
        <w:contextualSpacing/>
      </w:pPr>
      <w:bookmarkStart w:id="71" w:name="_Toc466030513"/>
      <w:bookmarkStart w:id="72" w:name="_Toc508183534"/>
      <w:r>
        <w:t>17.</w:t>
      </w:r>
      <w:r>
        <w:tab/>
        <w:t>PUBLICAÇÃO</w:t>
      </w:r>
      <w:bookmarkEnd w:id="71"/>
      <w:bookmarkEnd w:id="72"/>
    </w:p>
    <w:p w14:paraId="3F13008A" w14:textId="77777777" w:rsidR="001535CD" w:rsidRPr="00E069DC" w:rsidRDefault="001535CD" w:rsidP="007D7A61">
      <w:pPr>
        <w:widowControl w:val="0"/>
        <w:autoSpaceDE w:val="0"/>
        <w:autoSpaceDN w:val="0"/>
        <w:adjustRightInd w:val="0"/>
        <w:contextualSpacing/>
        <w:jc w:val="both"/>
        <w:rPr>
          <w:rFonts w:cs="Arial"/>
          <w:sz w:val="12"/>
          <w:szCs w:val="22"/>
        </w:rPr>
      </w:pPr>
      <w:r>
        <w:t xml:space="preserve">Os dados derivados desta pesquisa serão colocados à disposição da comunidade científica de maneira oportuna e responsável. Um relatório científico detalhado será submetido a uma revista científica amplamente acessível em nome do grupo do </w:t>
      </w:r>
      <w:r w:rsidR="00E43DDD">
        <w:t>estudo</w:t>
      </w:r>
      <w:r>
        <w:t xml:space="preserve"> clínico OPTIMISE II. O COE irá decidir a composição de um comitê de redação que irá assumir a responsabilidade principal da análise dos dados finais e da redação do relatório científico. Todos os membros do comitê de redação estarão em conformidade com os requisitos de autoria acordados internacionalmente e aprovarão o manuscrito final antes de sua apresentação. Consulte o regulamento para a publicação do </w:t>
      </w:r>
      <w:r w:rsidR="00E43DDD">
        <w:t>estudo</w:t>
      </w:r>
      <w:r>
        <w:t xml:space="preserve"> clínico OPTIMISE II para obter mais detalhes.</w:t>
      </w:r>
    </w:p>
    <w:p w14:paraId="570882F3" w14:textId="58346C8B" w:rsidR="00086CA2" w:rsidRDefault="001535CD" w:rsidP="00D213FE">
      <w:pPr>
        <w:pStyle w:val="Heading1"/>
        <w:spacing w:before="0" w:after="0"/>
        <w:contextualSpacing/>
      </w:pPr>
      <w:r w:rsidRPr="00E069DC">
        <w:rPr>
          <w:sz w:val="12"/>
        </w:rPr>
        <w:br w:type="page"/>
      </w:r>
      <w:bookmarkStart w:id="73" w:name="_Toc466030514"/>
      <w:bookmarkStart w:id="74" w:name="_Toc508183535"/>
      <w:r>
        <w:t>18. REFERÊNCIAS</w:t>
      </w:r>
      <w:bookmarkEnd w:id="73"/>
      <w:bookmarkEnd w:id="74"/>
    </w:p>
    <w:p w14:paraId="7C9495CA"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1535CD" w:rsidRPr="000E3411">
        <w:rPr>
          <w:rFonts w:ascii="Arial" w:hAnsi="Arial" w:cs="Arial"/>
          <w:sz w:val="22"/>
          <w:szCs w:val="22"/>
        </w:rPr>
        <w:instrText xml:space="preserve"> ADDIN EN.REFLIST </w:instrText>
      </w:r>
      <w:r>
        <w:rPr>
          <w:rFonts w:ascii="Arial" w:hAnsi="Arial" w:cs="Arial"/>
          <w:sz w:val="22"/>
          <w:szCs w:val="22"/>
        </w:rPr>
        <w:fldChar w:fldCharType="separate"/>
      </w:r>
      <w:bookmarkStart w:id="75" w:name="_ENREF_1"/>
      <w:r w:rsidR="00553CDA" w:rsidRPr="000E3411">
        <w:rPr>
          <w:rFonts w:ascii="Arial" w:hAnsi="Arial" w:cs="Arial"/>
          <w:sz w:val="22"/>
          <w:szCs w:val="22"/>
        </w:rPr>
        <w:t>1.</w:t>
      </w:r>
      <w:r w:rsidR="00553CDA" w:rsidRPr="000E3411">
        <w:rPr>
          <w:rFonts w:ascii="Arial" w:hAnsi="Arial" w:cs="Arial"/>
          <w:sz w:val="22"/>
          <w:szCs w:val="22"/>
        </w:rPr>
        <w:tab/>
        <w:t xml:space="preserve">Weiser TG, Haynes AB, Molina G, Lipsitz SR, Esquivel M, Uribe-Leitz T, et al. </w:t>
      </w:r>
      <w:r w:rsidR="00553CDA" w:rsidRPr="00E71CE2">
        <w:rPr>
          <w:rFonts w:ascii="Arial" w:hAnsi="Arial" w:cs="Arial"/>
          <w:sz w:val="22"/>
          <w:szCs w:val="22"/>
          <w:lang w:val="en-US"/>
        </w:rPr>
        <w:t>Estimate of the global volume of surgery in 2012: An assessment supporting improved health outcomes. Lancet. 2015;385(S11).</w:t>
      </w:r>
      <w:bookmarkEnd w:id="75"/>
      <w:r>
        <w:fldChar w:fldCharType="end"/>
      </w:r>
    </w:p>
    <w:p w14:paraId="6B436DB3" w14:textId="77777777" w:rsidR="000E3411" w:rsidRPr="00E71CE2" w:rsidRDefault="000E3411" w:rsidP="00553CDA">
      <w:pPr>
        <w:pStyle w:val="EndNoteBibliography"/>
        <w:rPr>
          <w:rFonts w:ascii="Arial" w:hAnsi="Arial" w:cs="Arial"/>
          <w:sz w:val="22"/>
          <w:szCs w:val="22"/>
          <w:lang w:val="en-US"/>
        </w:rPr>
      </w:pPr>
    </w:p>
    <w:p w14:paraId="14D46E08"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76" w:name="_ENREF_2"/>
      <w:r w:rsidR="00553CDA" w:rsidRPr="00E71CE2">
        <w:rPr>
          <w:rFonts w:ascii="Arial" w:hAnsi="Arial" w:cs="Arial"/>
          <w:sz w:val="22"/>
          <w:szCs w:val="22"/>
          <w:lang w:val="en-US"/>
        </w:rPr>
        <w:t>2.</w:t>
      </w:r>
      <w:r w:rsidR="00553CDA" w:rsidRPr="00E71CE2">
        <w:rPr>
          <w:rFonts w:ascii="Arial" w:hAnsi="Arial" w:cs="Arial"/>
          <w:sz w:val="22"/>
          <w:szCs w:val="22"/>
          <w:lang w:val="en-US"/>
        </w:rPr>
        <w:tab/>
        <w:t>Pearse RM, Moreno RP, Bauer P, Pelosi P, Metnitz P, Spies C, et al. Mortality after surgery in Europe: a 7 day cohort study. Lancet. 2012;380(9847):1059-65.</w:t>
      </w:r>
      <w:bookmarkEnd w:id="76"/>
      <w:r>
        <w:fldChar w:fldCharType="end"/>
      </w:r>
    </w:p>
    <w:p w14:paraId="348DE214" w14:textId="77777777" w:rsidR="000E3411" w:rsidRPr="00E71CE2" w:rsidRDefault="000E3411" w:rsidP="00553CDA">
      <w:pPr>
        <w:pStyle w:val="EndNoteBibliography"/>
        <w:rPr>
          <w:rFonts w:ascii="Arial" w:hAnsi="Arial" w:cs="Arial"/>
          <w:sz w:val="22"/>
          <w:szCs w:val="22"/>
          <w:lang w:val="en-US"/>
        </w:rPr>
      </w:pPr>
    </w:p>
    <w:p w14:paraId="4226E372"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77" w:name="_ENREF_3"/>
      <w:r w:rsidR="00553CDA" w:rsidRPr="00E71CE2">
        <w:rPr>
          <w:rFonts w:ascii="Arial" w:hAnsi="Arial" w:cs="Arial"/>
          <w:sz w:val="22"/>
          <w:szCs w:val="22"/>
          <w:lang w:val="en-US"/>
        </w:rPr>
        <w:t>3.</w:t>
      </w:r>
      <w:r w:rsidR="00553CDA" w:rsidRPr="00E71CE2">
        <w:rPr>
          <w:rFonts w:ascii="Arial" w:hAnsi="Arial" w:cs="Arial"/>
          <w:sz w:val="22"/>
          <w:szCs w:val="22"/>
          <w:lang w:val="en-US"/>
        </w:rPr>
        <w:tab/>
        <w:t>Head J, Ferrie JE, Alexanderson K, Westerlund H, Vahtera J, Kivimaki M, et al. Diagnosis-specific sickness absence as a predictor of mortality: the Whitehall II prospective cohort study. B</w:t>
      </w:r>
      <w:r w:rsidR="000E3411" w:rsidRPr="00E71CE2">
        <w:rPr>
          <w:rFonts w:ascii="Arial" w:hAnsi="Arial" w:cs="Arial"/>
          <w:sz w:val="22"/>
          <w:szCs w:val="22"/>
          <w:lang w:val="en-US"/>
        </w:rPr>
        <w:t>MJ</w:t>
      </w:r>
      <w:r w:rsidR="00553CDA" w:rsidRPr="00E71CE2">
        <w:rPr>
          <w:rFonts w:ascii="Arial" w:hAnsi="Arial" w:cs="Arial"/>
          <w:sz w:val="22"/>
          <w:szCs w:val="22"/>
          <w:lang w:val="en-US"/>
        </w:rPr>
        <w:t>. 2008;337:a1469.</w:t>
      </w:r>
      <w:bookmarkEnd w:id="77"/>
      <w:r>
        <w:fldChar w:fldCharType="end"/>
      </w:r>
    </w:p>
    <w:p w14:paraId="68F05F82" w14:textId="77777777" w:rsidR="000E3411" w:rsidRPr="00E71CE2" w:rsidRDefault="000E3411" w:rsidP="00553CDA">
      <w:pPr>
        <w:pStyle w:val="EndNoteBibliography"/>
        <w:rPr>
          <w:rFonts w:ascii="Arial" w:hAnsi="Arial" w:cs="Arial"/>
          <w:sz w:val="22"/>
          <w:szCs w:val="22"/>
          <w:lang w:val="en-US"/>
        </w:rPr>
      </w:pPr>
    </w:p>
    <w:p w14:paraId="688CE8EC"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78" w:name="_ENREF_4"/>
      <w:r w:rsidR="00553CDA" w:rsidRPr="00E71CE2">
        <w:rPr>
          <w:rFonts w:ascii="Arial" w:hAnsi="Arial" w:cs="Arial"/>
          <w:sz w:val="22"/>
          <w:szCs w:val="22"/>
          <w:lang w:val="en-US"/>
        </w:rPr>
        <w:t>4.</w:t>
      </w:r>
      <w:r w:rsidR="00553CDA" w:rsidRPr="00E71CE2">
        <w:rPr>
          <w:rFonts w:ascii="Arial" w:hAnsi="Arial" w:cs="Arial"/>
          <w:sz w:val="22"/>
          <w:szCs w:val="22"/>
          <w:lang w:val="en-US"/>
        </w:rPr>
        <w:tab/>
        <w:t>Khuri SF, Henderson WG, DePalma RG, Mosca C, Healey NA, Kumbhani DJ, et al. Determinants of long-term survival after major surgery and the adverse effect of postoperative complications. Annals of surgery. 2005;242(3):326-41.</w:t>
      </w:r>
      <w:bookmarkEnd w:id="78"/>
      <w:r>
        <w:fldChar w:fldCharType="end"/>
      </w:r>
    </w:p>
    <w:p w14:paraId="00D098C1" w14:textId="77777777" w:rsidR="000E3411" w:rsidRPr="00E71CE2" w:rsidRDefault="000E3411" w:rsidP="00553CDA">
      <w:pPr>
        <w:pStyle w:val="EndNoteBibliography"/>
        <w:rPr>
          <w:rFonts w:ascii="Arial" w:hAnsi="Arial" w:cs="Arial"/>
          <w:sz w:val="22"/>
          <w:szCs w:val="22"/>
          <w:lang w:val="en-US"/>
        </w:rPr>
      </w:pPr>
    </w:p>
    <w:p w14:paraId="5D80D09F"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79" w:name="_ENREF_5"/>
      <w:r w:rsidR="00553CDA" w:rsidRPr="00E71CE2">
        <w:rPr>
          <w:rFonts w:ascii="Arial" w:hAnsi="Arial" w:cs="Arial"/>
          <w:sz w:val="22"/>
          <w:szCs w:val="22"/>
          <w:lang w:val="en-US"/>
        </w:rPr>
        <w:t>5.</w:t>
      </w:r>
      <w:r w:rsidR="00553CDA" w:rsidRPr="00E71CE2">
        <w:rPr>
          <w:rFonts w:ascii="Arial" w:hAnsi="Arial" w:cs="Arial"/>
          <w:sz w:val="22"/>
          <w:szCs w:val="22"/>
          <w:lang w:val="en-US"/>
        </w:rPr>
        <w:tab/>
        <w:t>Bangash MN, Patel NS, Benetti E, Collino M, Hinds CJ, Thiemermann C, et al. Dopexamine can attenuate the inflammatory response and protect against organ injury in the absence of significant effects on hemodynamics or regional microvascular flow. Critical care. 2013;17(2):R57.</w:t>
      </w:r>
      <w:bookmarkEnd w:id="79"/>
      <w:r>
        <w:fldChar w:fldCharType="end"/>
      </w:r>
    </w:p>
    <w:p w14:paraId="31D0398F" w14:textId="77777777" w:rsidR="000E3411" w:rsidRPr="00E71CE2" w:rsidRDefault="000E3411" w:rsidP="00553CDA">
      <w:pPr>
        <w:pStyle w:val="EndNoteBibliography"/>
        <w:rPr>
          <w:rFonts w:ascii="Arial" w:hAnsi="Arial" w:cs="Arial"/>
          <w:sz w:val="22"/>
          <w:szCs w:val="22"/>
          <w:lang w:val="en-US"/>
        </w:rPr>
      </w:pPr>
    </w:p>
    <w:p w14:paraId="1C3CE111"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0" w:name="_ENREF_6"/>
      <w:r w:rsidR="00553CDA" w:rsidRPr="00E71CE2">
        <w:rPr>
          <w:rFonts w:ascii="Arial" w:hAnsi="Arial" w:cs="Arial"/>
          <w:sz w:val="22"/>
          <w:szCs w:val="22"/>
          <w:lang w:val="en-US"/>
        </w:rPr>
        <w:t>6.</w:t>
      </w:r>
      <w:r w:rsidR="00553CDA" w:rsidRPr="00E71CE2">
        <w:rPr>
          <w:rFonts w:ascii="Arial" w:hAnsi="Arial" w:cs="Arial"/>
          <w:sz w:val="22"/>
          <w:szCs w:val="22"/>
          <w:lang w:val="en-US"/>
        </w:rPr>
        <w:tab/>
        <w:t>Jhanji S, Vivian-Smith A, Lucena-Amaro S, Watson D, Hinds CJ, Pearse RM. Haemodynamic optimisation improves tissue microvascular flow and oxygenation after major surgery: a randomised controlled trial. Critical care. 2010;14(4):R151.</w:t>
      </w:r>
      <w:bookmarkEnd w:id="80"/>
      <w:r>
        <w:fldChar w:fldCharType="end"/>
      </w:r>
    </w:p>
    <w:p w14:paraId="669312E7" w14:textId="77777777" w:rsidR="000E3411" w:rsidRPr="00E71CE2" w:rsidRDefault="000E3411" w:rsidP="00553CDA">
      <w:pPr>
        <w:pStyle w:val="EndNoteBibliography"/>
        <w:rPr>
          <w:rFonts w:ascii="Arial" w:hAnsi="Arial" w:cs="Arial"/>
          <w:sz w:val="22"/>
          <w:szCs w:val="22"/>
          <w:lang w:val="en-US"/>
        </w:rPr>
      </w:pPr>
    </w:p>
    <w:p w14:paraId="33491DEE"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1" w:name="_ENREF_7"/>
      <w:r w:rsidR="00553CDA" w:rsidRPr="00E71CE2">
        <w:rPr>
          <w:rFonts w:ascii="Arial" w:hAnsi="Arial" w:cs="Arial"/>
          <w:sz w:val="22"/>
          <w:szCs w:val="22"/>
          <w:lang w:val="en-US"/>
        </w:rPr>
        <w:t>7.</w:t>
      </w:r>
      <w:r w:rsidR="00553CDA" w:rsidRPr="00E71CE2">
        <w:rPr>
          <w:rFonts w:ascii="Arial" w:hAnsi="Arial" w:cs="Arial"/>
          <w:sz w:val="22"/>
          <w:szCs w:val="22"/>
          <w:lang w:val="en-US"/>
        </w:rPr>
        <w:tab/>
        <w:t>Grocott MP, Dushianthan A, Hamilton MA, Mythen MG, Harrison D, Rowan K, et al. Perioperative increase in global blood flow to explicit defined goals and outcomes following surgery. The Cochrane database of systematic reviews. 2012;11:CD004082.</w:t>
      </w:r>
      <w:bookmarkEnd w:id="81"/>
      <w:r>
        <w:fldChar w:fldCharType="end"/>
      </w:r>
    </w:p>
    <w:p w14:paraId="170E1086" w14:textId="77777777" w:rsidR="000E3411" w:rsidRPr="00E71CE2" w:rsidRDefault="000E3411" w:rsidP="00553CDA">
      <w:pPr>
        <w:pStyle w:val="EndNoteBibliography"/>
        <w:rPr>
          <w:rFonts w:ascii="Arial" w:hAnsi="Arial" w:cs="Arial"/>
          <w:sz w:val="22"/>
          <w:szCs w:val="22"/>
          <w:lang w:val="en-US"/>
        </w:rPr>
      </w:pPr>
    </w:p>
    <w:p w14:paraId="119CAF16"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2" w:name="_ENREF_8"/>
      <w:r w:rsidR="00553CDA" w:rsidRPr="00E71CE2">
        <w:rPr>
          <w:rFonts w:ascii="Arial" w:hAnsi="Arial" w:cs="Arial"/>
          <w:sz w:val="22"/>
          <w:szCs w:val="22"/>
          <w:lang w:val="en-US"/>
        </w:rPr>
        <w:t>8.</w:t>
      </w:r>
      <w:r w:rsidR="00553CDA" w:rsidRPr="00E71CE2">
        <w:rPr>
          <w:rFonts w:ascii="Arial" w:hAnsi="Arial" w:cs="Arial"/>
          <w:sz w:val="22"/>
          <w:szCs w:val="22"/>
          <w:lang w:val="en-US"/>
        </w:rPr>
        <w:tab/>
        <w:t>Ahmad T, Beilstein CM, Aldecoa C, Moreno RP, Molnar Z, Novak-Jankovic V, et al. Variation in haemodynamic monitoring for major surgery in European nations: secondary analysis of the EuSOS dataset. Perioper Med (Lond). 2015;4:8.</w:t>
      </w:r>
      <w:bookmarkEnd w:id="82"/>
      <w:r>
        <w:fldChar w:fldCharType="end"/>
      </w:r>
    </w:p>
    <w:p w14:paraId="42F5A0A1" w14:textId="77777777" w:rsidR="000E3411" w:rsidRPr="00E71CE2" w:rsidRDefault="000E3411" w:rsidP="00553CDA">
      <w:pPr>
        <w:pStyle w:val="EndNoteBibliography"/>
        <w:rPr>
          <w:rFonts w:ascii="Arial" w:hAnsi="Arial" w:cs="Arial"/>
          <w:sz w:val="22"/>
          <w:szCs w:val="22"/>
          <w:lang w:val="en-US"/>
        </w:rPr>
      </w:pPr>
    </w:p>
    <w:p w14:paraId="64201ED2"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3" w:name="_ENREF_9"/>
      <w:r w:rsidR="00553CDA" w:rsidRPr="00E71CE2">
        <w:rPr>
          <w:rFonts w:ascii="Arial" w:hAnsi="Arial" w:cs="Arial"/>
          <w:sz w:val="22"/>
          <w:szCs w:val="22"/>
          <w:lang w:val="en-US"/>
        </w:rPr>
        <w:t>9.</w:t>
      </w:r>
      <w:r w:rsidR="00553CDA" w:rsidRPr="00E71CE2">
        <w:rPr>
          <w:rFonts w:ascii="Arial" w:hAnsi="Arial" w:cs="Arial"/>
          <w:sz w:val="22"/>
          <w:szCs w:val="22"/>
          <w:lang w:val="en-US"/>
        </w:rPr>
        <w:tab/>
        <w:t>Pearse RM, Harrison DA, MacDonald N, Gillies MA, Blunt M, Ackland G, et al. Effect of a perioperative, cardiac output-guided hemodynamic therapy algorithm on outcomes following major gastrointestinal surgery: a randomized clinical trial and systematic review. JAMA : the journal of the American Medical Association. 2014;311(21):2181-90.</w:t>
      </w:r>
      <w:bookmarkEnd w:id="83"/>
      <w:r>
        <w:fldChar w:fldCharType="end"/>
      </w:r>
    </w:p>
    <w:p w14:paraId="3F4B526E" w14:textId="77777777" w:rsidR="000E3411" w:rsidRPr="00E71CE2" w:rsidRDefault="000E3411" w:rsidP="00553CDA">
      <w:pPr>
        <w:pStyle w:val="EndNoteBibliography"/>
        <w:rPr>
          <w:rFonts w:ascii="Arial" w:hAnsi="Arial" w:cs="Arial"/>
          <w:sz w:val="22"/>
          <w:szCs w:val="22"/>
          <w:lang w:val="en-US"/>
        </w:rPr>
      </w:pPr>
    </w:p>
    <w:p w14:paraId="47A60E44"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4" w:name="_ENREF_10"/>
      <w:r w:rsidR="00553CDA" w:rsidRPr="00E71CE2">
        <w:rPr>
          <w:rFonts w:ascii="Arial" w:hAnsi="Arial" w:cs="Arial"/>
          <w:sz w:val="22"/>
          <w:szCs w:val="22"/>
          <w:lang w:val="en-US"/>
        </w:rPr>
        <w:t>10.</w:t>
      </w:r>
      <w:r w:rsidR="00553CDA" w:rsidRPr="00E71CE2">
        <w:rPr>
          <w:rFonts w:ascii="Arial" w:hAnsi="Arial" w:cs="Arial"/>
          <w:sz w:val="22"/>
          <w:szCs w:val="22"/>
          <w:lang w:val="en-US"/>
        </w:rPr>
        <w:tab/>
        <w:t>Sadique Z, Harrison DA, Grieve R, Rowan KM, Pearse RM, group Os. Cost-effectiveness of a cardiac output-guided haemodynamic therapy algorithm in high-risk patients undergoing major gastrointestinal surgery. Perioper Med (Lond). 2015;4:13.</w:t>
      </w:r>
      <w:bookmarkEnd w:id="84"/>
      <w:r>
        <w:fldChar w:fldCharType="end"/>
      </w:r>
    </w:p>
    <w:p w14:paraId="487E2B68" w14:textId="77777777" w:rsidR="000E3411" w:rsidRPr="00E71CE2" w:rsidRDefault="000E3411" w:rsidP="00553CDA">
      <w:pPr>
        <w:pStyle w:val="EndNoteBibliography"/>
        <w:rPr>
          <w:rFonts w:ascii="Arial" w:hAnsi="Arial" w:cs="Arial"/>
          <w:sz w:val="22"/>
          <w:szCs w:val="22"/>
          <w:lang w:val="en-US"/>
        </w:rPr>
      </w:pPr>
    </w:p>
    <w:p w14:paraId="2B54136B"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5" w:name="_ENREF_11"/>
      <w:r w:rsidR="00553CDA" w:rsidRPr="00E71CE2">
        <w:rPr>
          <w:rFonts w:ascii="Arial" w:hAnsi="Arial" w:cs="Arial"/>
          <w:sz w:val="22"/>
          <w:szCs w:val="22"/>
          <w:lang w:val="en-US"/>
        </w:rPr>
        <w:t>11.</w:t>
      </w:r>
      <w:r w:rsidR="00553CDA" w:rsidRPr="00E71CE2">
        <w:rPr>
          <w:rFonts w:ascii="Arial" w:hAnsi="Arial" w:cs="Arial"/>
          <w:sz w:val="22"/>
          <w:szCs w:val="22"/>
          <w:lang w:val="en-US"/>
        </w:rPr>
        <w:tab/>
        <w:t>Deans KJ, Minneci PC, Danner RL, Eichacker PQ, Natanson C. Practice misalignments in randomized controlled trials: Identification, impact, and potential solutions. Anesth Analg. 2010;111(2):444-50.</w:t>
      </w:r>
      <w:bookmarkEnd w:id="85"/>
      <w:r>
        <w:fldChar w:fldCharType="end"/>
      </w:r>
    </w:p>
    <w:p w14:paraId="5379B328" w14:textId="77777777" w:rsidR="000E3411" w:rsidRPr="00E71CE2" w:rsidRDefault="000E3411" w:rsidP="00553CDA">
      <w:pPr>
        <w:pStyle w:val="EndNoteBibliography"/>
        <w:rPr>
          <w:rFonts w:ascii="Arial" w:hAnsi="Arial" w:cs="Arial"/>
          <w:sz w:val="22"/>
          <w:szCs w:val="22"/>
          <w:lang w:val="en-US"/>
        </w:rPr>
      </w:pPr>
    </w:p>
    <w:p w14:paraId="7EDAE3B6"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6" w:name="_ENREF_12"/>
      <w:r w:rsidR="00553CDA" w:rsidRPr="00E71CE2">
        <w:rPr>
          <w:rFonts w:ascii="Arial" w:hAnsi="Arial" w:cs="Arial"/>
          <w:sz w:val="22"/>
          <w:szCs w:val="22"/>
          <w:lang w:val="en-US"/>
        </w:rPr>
        <w:t>12.</w:t>
      </w:r>
      <w:r w:rsidR="00553CDA" w:rsidRPr="00E71CE2">
        <w:rPr>
          <w:rFonts w:ascii="Arial" w:hAnsi="Arial" w:cs="Arial"/>
          <w:sz w:val="22"/>
          <w:szCs w:val="22"/>
          <w:lang w:val="en-US"/>
        </w:rPr>
        <w:tab/>
        <w:t>Kahan BC, Rehal S, Cro S. Risk of selection bias in randomised trials. Trials. 2015;16:405.</w:t>
      </w:r>
      <w:bookmarkEnd w:id="86"/>
      <w:r>
        <w:fldChar w:fldCharType="end"/>
      </w:r>
    </w:p>
    <w:p w14:paraId="2E5EC9AF" w14:textId="77777777" w:rsidR="000E3411" w:rsidRPr="00E71CE2" w:rsidRDefault="000E3411" w:rsidP="00553CDA">
      <w:pPr>
        <w:pStyle w:val="EndNoteBibliography"/>
        <w:rPr>
          <w:rFonts w:ascii="Arial" w:hAnsi="Arial" w:cs="Arial"/>
          <w:sz w:val="22"/>
          <w:szCs w:val="22"/>
          <w:lang w:val="en-US"/>
        </w:rPr>
      </w:pPr>
    </w:p>
    <w:p w14:paraId="056C0F20"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7" w:name="_ENREF_13"/>
      <w:r w:rsidR="00553CDA" w:rsidRPr="00E71CE2">
        <w:rPr>
          <w:rFonts w:ascii="Arial" w:hAnsi="Arial" w:cs="Arial"/>
          <w:sz w:val="22"/>
          <w:szCs w:val="22"/>
          <w:lang w:val="en-US"/>
        </w:rPr>
        <w:t>13.</w:t>
      </w:r>
      <w:r w:rsidR="00553CDA" w:rsidRPr="00E71CE2">
        <w:rPr>
          <w:rFonts w:ascii="Arial" w:hAnsi="Arial" w:cs="Arial"/>
          <w:sz w:val="22"/>
          <w:szCs w:val="22"/>
          <w:lang w:val="en-US"/>
        </w:rPr>
        <w:tab/>
        <w:t>White IR, Horton NJ, Carpenter J, Pocock SJ. Strategy for intention to treat analysis in randomised trials with missing outcome data. Bmj. 2011;342:d40.</w:t>
      </w:r>
      <w:bookmarkEnd w:id="87"/>
      <w:r>
        <w:fldChar w:fldCharType="end"/>
      </w:r>
    </w:p>
    <w:p w14:paraId="1D8CFC38" w14:textId="77777777" w:rsidR="000E3411" w:rsidRPr="00E71CE2" w:rsidRDefault="000E3411" w:rsidP="00553CDA">
      <w:pPr>
        <w:pStyle w:val="EndNoteBibliography"/>
        <w:rPr>
          <w:rFonts w:ascii="Arial" w:hAnsi="Arial" w:cs="Arial"/>
          <w:sz w:val="22"/>
          <w:szCs w:val="22"/>
          <w:lang w:val="en-US"/>
        </w:rPr>
      </w:pPr>
    </w:p>
    <w:p w14:paraId="44B4AFA8"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8" w:name="_ENREF_14"/>
      <w:r w:rsidR="00553CDA" w:rsidRPr="00E71CE2">
        <w:rPr>
          <w:rFonts w:ascii="Arial" w:hAnsi="Arial" w:cs="Arial"/>
          <w:sz w:val="22"/>
          <w:szCs w:val="22"/>
          <w:lang w:val="en-US"/>
        </w:rPr>
        <w:t>14.</w:t>
      </w:r>
      <w:r w:rsidR="00553CDA" w:rsidRPr="00E71CE2">
        <w:rPr>
          <w:rFonts w:ascii="Arial" w:hAnsi="Arial" w:cs="Arial"/>
          <w:sz w:val="22"/>
          <w:szCs w:val="22"/>
          <w:lang w:val="en-US"/>
        </w:rPr>
        <w:tab/>
        <w:t>Kahan BC. Accounting for centre-effects in multicentre trials with a binary outcome - when, why, and how? BMC Med Res Methodol. 2014;14:20.</w:t>
      </w:r>
      <w:bookmarkEnd w:id="88"/>
      <w:r>
        <w:fldChar w:fldCharType="end"/>
      </w:r>
    </w:p>
    <w:p w14:paraId="62C3AC87" w14:textId="77777777" w:rsidR="000E3411" w:rsidRPr="00E71CE2" w:rsidRDefault="000E3411" w:rsidP="00553CDA">
      <w:pPr>
        <w:pStyle w:val="EndNoteBibliography"/>
        <w:rPr>
          <w:rFonts w:ascii="Arial" w:hAnsi="Arial" w:cs="Arial"/>
          <w:sz w:val="22"/>
          <w:szCs w:val="22"/>
          <w:lang w:val="en-US"/>
        </w:rPr>
      </w:pPr>
    </w:p>
    <w:p w14:paraId="07BE917C"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89" w:name="_ENREF_15"/>
      <w:r w:rsidR="00553CDA" w:rsidRPr="00E71CE2">
        <w:rPr>
          <w:rFonts w:ascii="Arial" w:hAnsi="Arial" w:cs="Arial"/>
          <w:sz w:val="22"/>
          <w:szCs w:val="22"/>
          <w:lang w:val="en-US"/>
        </w:rPr>
        <w:t>15.</w:t>
      </w:r>
      <w:r w:rsidR="00553CDA" w:rsidRPr="00E71CE2">
        <w:rPr>
          <w:rFonts w:ascii="Arial" w:hAnsi="Arial" w:cs="Arial"/>
          <w:sz w:val="22"/>
          <w:szCs w:val="22"/>
          <w:lang w:val="en-US"/>
        </w:rPr>
        <w:tab/>
        <w:t>Kahan BC, Rushton H, Morris TP, Daniel RM. A comparison of methods to adjust for continuous covariates in the analysis of randomised trials. BMC Med Res Methodol. 2016;16:42.</w:t>
      </w:r>
      <w:bookmarkEnd w:id="89"/>
      <w:r>
        <w:fldChar w:fldCharType="end"/>
      </w:r>
    </w:p>
    <w:p w14:paraId="34DFFEBD" w14:textId="77777777" w:rsidR="000E3411" w:rsidRPr="00E71CE2" w:rsidRDefault="000E3411" w:rsidP="00553CDA">
      <w:pPr>
        <w:pStyle w:val="EndNoteBibliography"/>
        <w:rPr>
          <w:rFonts w:ascii="Arial" w:hAnsi="Arial" w:cs="Arial"/>
          <w:sz w:val="22"/>
          <w:szCs w:val="22"/>
          <w:lang w:val="en-US"/>
        </w:rPr>
      </w:pPr>
    </w:p>
    <w:p w14:paraId="103C7773"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0" w:name="_ENREF_16"/>
      <w:r w:rsidR="00553CDA" w:rsidRPr="00E71CE2">
        <w:rPr>
          <w:rFonts w:ascii="Arial" w:hAnsi="Arial" w:cs="Arial"/>
          <w:sz w:val="22"/>
          <w:szCs w:val="22"/>
          <w:lang w:val="en-US"/>
        </w:rPr>
        <w:t>16.</w:t>
      </w:r>
      <w:r w:rsidR="00553CDA" w:rsidRPr="00E71CE2">
        <w:rPr>
          <w:rFonts w:ascii="Arial" w:hAnsi="Arial" w:cs="Arial"/>
          <w:sz w:val="22"/>
          <w:szCs w:val="22"/>
          <w:lang w:val="en-US"/>
        </w:rPr>
        <w:tab/>
        <w:t>Harrell FE. Regression Modeling Strategies: With Applications to Linear Models, Logistic Regression, and Survival Analysis. New York: Springer; 2001.</w:t>
      </w:r>
      <w:bookmarkEnd w:id="90"/>
      <w:r>
        <w:fldChar w:fldCharType="end"/>
      </w:r>
    </w:p>
    <w:p w14:paraId="7ABF21A2" w14:textId="77777777" w:rsidR="000E3411" w:rsidRPr="00E71CE2" w:rsidRDefault="000E3411" w:rsidP="00553CDA">
      <w:pPr>
        <w:pStyle w:val="EndNoteBibliography"/>
        <w:rPr>
          <w:rFonts w:ascii="Arial" w:hAnsi="Arial" w:cs="Arial"/>
          <w:sz w:val="22"/>
          <w:szCs w:val="22"/>
          <w:lang w:val="en-US"/>
        </w:rPr>
      </w:pPr>
    </w:p>
    <w:p w14:paraId="117A4029"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1" w:name="_ENREF_17"/>
      <w:r w:rsidR="00553CDA" w:rsidRPr="00E71CE2">
        <w:rPr>
          <w:rFonts w:ascii="Arial" w:hAnsi="Arial" w:cs="Arial"/>
          <w:sz w:val="22"/>
          <w:szCs w:val="22"/>
          <w:lang w:val="en-US"/>
        </w:rPr>
        <w:t>17.</w:t>
      </w:r>
      <w:r w:rsidR="00553CDA" w:rsidRPr="00E71CE2">
        <w:rPr>
          <w:rFonts w:ascii="Arial" w:hAnsi="Arial" w:cs="Arial"/>
          <w:sz w:val="22"/>
          <w:szCs w:val="22"/>
          <w:lang w:val="en-US"/>
        </w:rPr>
        <w:tab/>
        <w:t>White IR, Thompson SG. Adjusting for partially missing baseline measurements in randomized trials. Stat Med. 2005;24(7):993-1007.</w:t>
      </w:r>
      <w:bookmarkEnd w:id="91"/>
      <w:r>
        <w:fldChar w:fldCharType="end"/>
      </w:r>
    </w:p>
    <w:p w14:paraId="19FC258F" w14:textId="77777777" w:rsidR="000E3411" w:rsidRPr="00E71CE2" w:rsidRDefault="000E3411" w:rsidP="00553CDA">
      <w:pPr>
        <w:pStyle w:val="EndNoteBibliography"/>
        <w:rPr>
          <w:rFonts w:ascii="Arial" w:hAnsi="Arial" w:cs="Arial"/>
          <w:sz w:val="22"/>
          <w:szCs w:val="22"/>
          <w:lang w:val="en-US"/>
        </w:rPr>
      </w:pPr>
    </w:p>
    <w:p w14:paraId="7939AF6B"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2" w:name="_ENREF_18"/>
      <w:r w:rsidR="00553CDA" w:rsidRPr="00E71CE2">
        <w:rPr>
          <w:rFonts w:ascii="Arial" w:hAnsi="Arial" w:cs="Arial"/>
          <w:sz w:val="22"/>
          <w:szCs w:val="22"/>
          <w:lang w:val="en-US"/>
        </w:rPr>
        <w:t>18.</w:t>
      </w:r>
      <w:r w:rsidR="00553CDA" w:rsidRPr="00E71CE2">
        <w:rPr>
          <w:rFonts w:ascii="Arial" w:hAnsi="Arial" w:cs="Arial"/>
          <w:sz w:val="22"/>
          <w:szCs w:val="22"/>
          <w:lang w:val="en-US"/>
        </w:rPr>
        <w:tab/>
        <w:t xml:space="preserve">NHS Digital. Hospital Episode Statistics  [Available from: </w:t>
      </w:r>
      <w:hyperlink r:id="rId13" w:history="1">
        <w:r w:rsidR="00553CDA" w:rsidRPr="00E71CE2">
          <w:rPr>
            <w:rStyle w:val="Hyperlink"/>
            <w:rFonts w:ascii="Arial" w:hAnsi="Arial" w:cs="Arial"/>
            <w:sz w:val="22"/>
            <w:szCs w:val="22"/>
            <w:lang w:val="en-US"/>
          </w:rPr>
          <w:t>http://digital.nhs.uk/hes</w:t>
        </w:r>
      </w:hyperlink>
      <w:r w:rsidR="00553CDA" w:rsidRPr="00E71CE2">
        <w:rPr>
          <w:rFonts w:ascii="Arial" w:hAnsi="Arial" w:cs="Arial"/>
          <w:sz w:val="22"/>
          <w:szCs w:val="22"/>
          <w:lang w:val="en-US"/>
        </w:rPr>
        <w:t>.</w:t>
      </w:r>
      <w:bookmarkEnd w:id="92"/>
      <w:r>
        <w:fldChar w:fldCharType="end"/>
      </w:r>
    </w:p>
    <w:p w14:paraId="350B9F39" w14:textId="77777777" w:rsidR="000E3411" w:rsidRPr="00E71CE2" w:rsidRDefault="000E3411" w:rsidP="00553CDA">
      <w:pPr>
        <w:pStyle w:val="EndNoteBibliography"/>
        <w:rPr>
          <w:rFonts w:ascii="Arial" w:hAnsi="Arial" w:cs="Arial"/>
          <w:sz w:val="22"/>
          <w:szCs w:val="22"/>
          <w:lang w:val="en-US"/>
        </w:rPr>
      </w:pPr>
    </w:p>
    <w:p w14:paraId="19E81138"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3" w:name="_ENREF_19"/>
      <w:r w:rsidR="00553CDA" w:rsidRPr="00E71CE2">
        <w:rPr>
          <w:rFonts w:ascii="Arial" w:hAnsi="Arial" w:cs="Arial"/>
          <w:sz w:val="22"/>
          <w:szCs w:val="22"/>
          <w:lang w:val="en-US"/>
        </w:rPr>
        <w:t>19.</w:t>
      </w:r>
      <w:r w:rsidR="00553CDA" w:rsidRPr="00E71CE2">
        <w:rPr>
          <w:rFonts w:ascii="Arial" w:hAnsi="Arial" w:cs="Arial"/>
          <w:sz w:val="22"/>
          <w:szCs w:val="22"/>
          <w:lang w:val="en-US"/>
        </w:rPr>
        <w:tab/>
        <w:t xml:space="preserve">Department of Health. NHS reference costs 2014 to 2015 2015 [Available from: </w:t>
      </w:r>
      <w:hyperlink r:id="rId14" w:history="1">
        <w:r w:rsidR="00553CDA" w:rsidRPr="00E71CE2">
          <w:rPr>
            <w:rStyle w:val="Hyperlink"/>
            <w:rFonts w:ascii="Arial" w:hAnsi="Arial" w:cs="Arial"/>
            <w:sz w:val="22"/>
            <w:szCs w:val="22"/>
            <w:lang w:val="en-US"/>
          </w:rPr>
          <w:t>https://www.gov.uk/government/publications/nhs-reference-costs-2014-to-2015</w:t>
        </w:r>
      </w:hyperlink>
      <w:r w:rsidR="00553CDA" w:rsidRPr="00E71CE2">
        <w:rPr>
          <w:rFonts w:ascii="Arial" w:hAnsi="Arial" w:cs="Arial"/>
          <w:sz w:val="22"/>
          <w:szCs w:val="22"/>
          <w:lang w:val="en-US"/>
        </w:rPr>
        <w:t>.</w:t>
      </w:r>
      <w:bookmarkEnd w:id="93"/>
      <w:r>
        <w:fldChar w:fldCharType="end"/>
      </w:r>
    </w:p>
    <w:p w14:paraId="76E95E11" w14:textId="77777777" w:rsidR="000E3411" w:rsidRPr="00E71CE2" w:rsidRDefault="000E3411" w:rsidP="00553CDA">
      <w:pPr>
        <w:pStyle w:val="EndNoteBibliography"/>
        <w:rPr>
          <w:rFonts w:ascii="Arial" w:hAnsi="Arial" w:cs="Arial"/>
          <w:sz w:val="22"/>
          <w:szCs w:val="22"/>
          <w:lang w:val="en-US"/>
        </w:rPr>
      </w:pPr>
    </w:p>
    <w:p w14:paraId="71CAB260" w14:textId="77777777" w:rsidR="005F6F4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4" w:name="_ENREF_20"/>
      <w:r w:rsidR="00553CDA" w:rsidRPr="00E71CE2">
        <w:rPr>
          <w:rFonts w:ascii="Arial" w:hAnsi="Arial" w:cs="Arial"/>
          <w:sz w:val="22"/>
          <w:szCs w:val="22"/>
          <w:lang w:val="en-US"/>
        </w:rPr>
        <w:t>20.</w:t>
      </w:r>
      <w:r w:rsidR="00553CDA" w:rsidRPr="00E71CE2">
        <w:rPr>
          <w:rFonts w:ascii="Arial" w:hAnsi="Arial" w:cs="Arial"/>
          <w:sz w:val="22"/>
          <w:szCs w:val="22"/>
          <w:lang w:val="en-US"/>
        </w:rPr>
        <w:tab/>
        <w:t>Dolan P. Modeling valuations for EuroQol health states. Med Care. 1997;35(11):1095-108.</w:t>
      </w:r>
      <w:bookmarkEnd w:id="94"/>
      <w:r>
        <w:fldChar w:fldCharType="end"/>
      </w:r>
    </w:p>
    <w:p w14:paraId="082A04FD" w14:textId="77777777" w:rsidR="000E3411" w:rsidRPr="00E71CE2" w:rsidRDefault="000E3411" w:rsidP="00553CDA">
      <w:pPr>
        <w:pStyle w:val="EndNoteBibliography"/>
        <w:rPr>
          <w:rFonts w:ascii="Arial" w:hAnsi="Arial" w:cs="Arial"/>
          <w:sz w:val="22"/>
          <w:szCs w:val="22"/>
          <w:lang w:val="en-US"/>
        </w:rPr>
      </w:pPr>
    </w:p>
    <w:p w14:paraId="4F0E17FB"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5" w:name="_ENREF_21"/>
      <w:r w:rsidR="00553CDA" w:rsidRPr="00E71CE2">
        <w:rPr>
          <w:rFonts w:ascii="Arial" w:hAnsi="Arial" w:cs="Arial"/>
          <w:sz w:val="22"/>
          <w:szCs w:val="22"/>
          <w:lang w:val="en-US"/>
        </w:rPr>
        <w:t>21.</w:t>
      </w:r>
      <w:r w:rsidR="00553CDA" w:rsidRPr="00E71CE2">
        <w:rPr>
          <w:rFonts w:ascii="Arial" w:hAnsi="Arial" w:cs="Arial"/>
          <w:sz w:val="22"/>
          <w:szCs w:val="22"/>
          <w:lang w:val="en-US"/>
        </w:rPr>
        <w:tab/>
        <w:t>Willan AR. Statistical analysis of cost-effectiveness data from randomized clinical trials. Expert Rev Pharmacoecon Outcomes Res. 2006;6(3):337-46.</w:t>
      </w:r>
      <w:bookmarkEnd w:id="95"/>
      <w:r>
        <w:fldChar w:fldCharType="end"/>
      </w:r>
    </w:p>
    <w:p w14:paraId="6ABAC941" w14:textId="77777777" w:rsidR="000E3411" w:rsidRPr="00E71CE2" w:rsidRDefault="000E3411" w:rsidP="00553CDA">
      <w:pPr>
        <w:pStyle w:val="EndNoteBibliography"/>
        <w:rPr>
          <w:rFonts w:ascii="Arial" w:hAnsi="Arial" w:cs="Arial"/>
          <w:sz w:val="22"/>
          <w:szCs w:val="22"/>
          <w:lang w:val="en-US"/>
        </w:rPr>
      </w:pPr>
    </w:p>
    <w:p w14:paraId="1AC7B0FC"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6" w:name="_ENREF_22"/>
      <w:r w:rsidR="00553CDA" w:rsidRPr="00E71CE2">
        <w:rPr>
          <w:rFonts w:ascii="Arial" w:hAnsi="Arial" w:cs="Arial"/>
          <w:sz w:val="22"/>
          <w:szCs w:val="22"/>
          <w:lang w:val="en-US"/>
        </w:rPr>
        <w:t>22.</w:t>
      </w:r>
      <w:r w:rsidR="00553CDA" w:rsidRPr="00E71CE2">
        <w:rPr>
          <w:rFonts w:ascii="Arial" w:hAnsi="Arial" w:cs="Arial"/>
          <w:sz w:val="22"/>
          <w:szCs w:val="22"/>
          <w:lang w:val="en-US"/>
        </w:rPr>
        <w:tab/>
        <w:t>Briggs AH, Gray AM. Handling uncertainty when performing economic evaluation of healthcare interventions. Health Technol Assess. 1999;3(2):1-134.</w:t>
      </w:r>
      <w:bookmarkEnd w:id="96"/>
      <w:r>
        <w:fldChar w:fldCharType="end"/>
      </w:r>
    </w:p>
    <w:p w14:paraId="79DD7C60" w14:textId="77777777" w:rsidR="000E3411" w:rsidRPr="00E71CE2" w:rsidRDefault="000E3411" w:rsidP="00553CDA">
      <w:pPr>
        <w:pStyle w:val="EndNoteBibliography"/>
        <w:rPr>
          <w:rFonts w:ascii="Arial" w:hAnsi="Arial" w:cs="Arial"/>
          <w:sz w:val="22"/>
          <w:szCs w:val="22"/>
          <w:lang w:val="en-US"/>
        </w:rPr>
      </w:pPr>
    </w:p>
    <w:p w14:paraId="40F95DFE" w14:textId="77777777" w:rsidR="00553CD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7" w:name="_ENREF_23"/>
      <w:r w:rsidR="00553CDA" w:rsidRPr="00E71CE2">
        <w:rPr>
          <w:rFonts w:ascii="Arial" w:hAnsi="Arial" w:cs="Arial"/>
          <w:sz w:val="22"/>
          <w:szCs w:val="22"/>
          <w:lang w:val="en-US"/>
        </w:rPr>
        <w:t>23.</w:t>
      </w:r>
      <w:r w:rsidR="00553CDA" w:rsidRPr="00E71CE2">
        <w:rPr>
          <w:rFonts w:ascii="Arial" w:hAnsi="Arial" w:cs="Arial"/>
          <w:sz w:val="22"/>
          <w:szCs w:val="22"/>
          <w:lang w:val="en-US"/>
        </w:rPr>
        <w:tab/>
        <w:t>McCabe C, Claxton K, Culyer AJ. The NICE cost-effectiveness threshold: what it is and what that means. Pharmacoeconomics. 2008;26(9):733-44.</w:t>
      </w:r>
      <w:bookmarkEnd w:id="97"/>
      <w:r>
        <w:fldChar w:fldCharType="end"/>
      </w:r>
    </w:p>
    <w:p w14:paraId="3997C180" w14:textId="77777777" w:rsidR="000E3411" w:rsidRPr="00E71CE2" w:rsidRDefault="000E3411" w:rsidP="00553CDA">
      <w:pPr>
        <w:pStyle w:val="EndNoteBibliography"/>
        <w:rPr>
          <w:rFonts w:ascii="Arial" w:hAnsi="Arial" w:cs="Arial"/>
          <w:sz w:val="22"/>
          <w:szCs w:val="22"/>
          <w:lang w:val="en-US"/>
        </w:rPr>
      </w:pPr>
    </w:p>
    <w:p w14:paraId="0DE71861" w14:textId="77777777" w:rsidR="005F6F4A" w:rsidRPr="00E71CE2" w:rsidRDefault="00966C85" w:rsidP="00553CDA">
      <w:pPr>
        <w:pStyle w:val="EndNoteBibliography"/>
        <w:rPr>
          <w:rFonts w:ascii="Arial" w:hAnsi="Arial" w:cs="Arial"/>
          <w:sz w:val="22"/>
          <w:szCs w:val="22"/>
          <w:lang w:val="en-US"/>
        </w:rPr>
      </w:pPr>
      <w:r>
        <w:rPr>
          <w:rFonts w:ascii="Arial" w:hAnsi="Arial" w:cs="Arial"/>
          <w:sz w:val="22"/>
          <w:szCs w:val="22"/>
        </w:rPr>
        <w:fldChar w:fldCharType="begin"/>
      </w:r>
      <w:r w:rsidR="00553CDA" w:rsidRPr="00E71CE2">
        <w:rPr>
          <w:lang w:val="en-US"/>
        </w:rPr>
        <w:instrText xml:space="preserve"> ADDIN EN.REFLIST </w:instrText>
      </w:r>
      <w:r>
        <w:fldChar w:fldCharType="separate"/>
      </w:r>
      <w:bookmarkStart w:id="98" w:name="_ENREF_24"/>
      <w:r w:rsidR="00553CDA" w:rsidRPr="00E71CE2">
        <w:rPr>
          <w:rFonts w:ascii="Arial" w:hAnsi="Arial" w:cs="Arial"/>
          <w:sz w:val="22"/>
          <w:szCs w:val="22"/>
          <w:lang w:val="en-US"/>
        </w:rPr>
        <w:t>24.</w:t>
      </w:r>
      <w:r w:rsidR="00553CDA" w:rsidRPr="00E71CE2">
        <w:rPr>
          <w:rFonts w:ascii="Arial" w:hAnsi="Arial" w:cs="Arial"/>
          <w:sz w:val="22"/>
          <w:szCs w:val="22"/>
          <w:lang w:val="en-US"/>
        </w:rPr>
        <w:tab/>
        <w:t>Jammer I, Wickboldt N, Sander M, Smith A, Schultz MJ, Pelosi P, et al. Standards for definitions and use of outcome measures for clinical effectiveness research in perioperative medicine: European Perioperative Clinical Outcome (EPCO) definitions: a statement from the ESA-ESICM joint taskforce on perioperat</w:t>
      </w:r>
      <w:r w:rsidR="000E3411" w:rsidRPr="00E71CE2">
        <w:rPr>
          <w:rFonts w:ascii="Arial" w:hAnsi="Arial" w:cs="Arial"/>
          <w:sz w:val="22"/>
          <w:szCs w:val="22"/>
          <w:lang w:val="en-US"/>
        </w:rPr>
        <w:t>ive outcome measures. European J</w:t>
      </w:r>
      <w:r w:rsidR="00553CDA" w:rsidRPr="00E71CE2">
        <w:rPr>
          <w:rFonts w:ascii="Arial" w:hAnsi="Arial" w:cs="Arial"/>
          <w:sz w:val="22"/>
          <w:szCs w:val="22"/>
          <w:lang w:val="en-US"/>
        </w:rPr>
        <w:t xml:space="preserve">ournal of </w:t>
      </w:r>
      <w:r w:rsidR="000E3411" w:rsidRPr="00E71CE2">
        <w:rPr>
          <w:rFonts w:ascii="Arial" w:hAnsi="Arial" w:cs="Arial"/>
          <w:sz w:val="22"/>
          <w:szCs w:val="22"/>
          <w:lang w:val="en-US"/>
        </w:rPr>
        <w:t>A</w:t>
      </w:r>
      <w:r w:rsidR="00553CDA" w:rsidRPr="00E71CE2">
        <w:rPr>
          <w:rFonts w:ascii="Arial" w:hAnsi="Arial" w:cs="Arial"/>
          <w:sz w:val="22"/>
          <w:szCs w:val="22"/>
          <w:lang w:val="en-US"/>
        </w:rPr>
        <w:t>naesthesiology. 2015;32(2):88-105.</w:t>
      </w:r>
      <w:bookmarkEnd w:id="98"/>
      <w:r>
        <w:fldChar w:fldCharType="end"/>
      </w:r>
    </w:p>
    <w:p w14:paraId="759F02A6" w14:textId="77777777" w:rsidR="009F6263" w:rsidRPr="00E71CE2" w:rsidRDefault="00966C85" w:rsidP="00A024D1">
      <w:pPr>
        <w:pStyle w:val="Heading1"/>
        <w:tabs>
          <w:tab w:val="clear" w:pos="425"/>
        </w:tabs>
        <w:spacing w:before="0" w:after="0" w:line="240" w:lineRule="auto"/>
        <w:ind w:left="426" w:hanging="426"/>
        <w:contextualSpacing/>
        <w:rPr>
          <w:rFonts w:cs="Arial"/>
          <w:b w:val="0"/>
          <w:szCs w:val="22"/>
          <w:lang w:val="en-US"/>
        </w:rPr>
      </w:pPr>
      <w:r w:rsidRPr="000E3411">
        <w:rPr>
          <w:rFonts w:cs="Arial"/>
          <w:szCs w:val="22"/>
        </w:rPr>
        <w:fldChar w:fldCharType="begin"/>
      </w:r>
      <w:r w:rsidR="00900887" w:rsidRPr="00E71CE2">
        <w:rPr>
          <w:lang w:val="en-US"/>
        </w:rPr>
        <w:instrText xml:space="preserve"> ADDIN EN.REFLIST </w:instrText>
      </w:r>
      <w:r w:rsidRPr="000E3411">
        <w:fldChar w:fldCharType="end"/>
      </w:r>
    </w:p>
    <w:p w14:paraId="70358A18" w14:textId="77777777" w:rsidR="00A024D1" w:rsidRPr="00A024D1" w:rsidRDefault="00A024D1" w:rsidP="00A024D1">
      <w:pPr>
        <w:spacing w:line="240" w:lineRule="auto"/>
      </w:pPr>
      <w:r w:rsidRPr="00E71CE2">
        <w:rPr>
          <w:lang w:val="en-US"/>
        </w:rPr>
        <w:t>25.</w:t>
      </w:r>
      <w:r w:rsidRPr="00E71CE2">
        <w:rPr>
          <w:lang w:val="en-US"/>
        </w:rPr>
        <w:tab/>
        <w:t xml:space="preserve">American College of Surgeons National Surgical Quality Improvement Program. User Guide for the 2014 ACS NSQIP Participant Use Data File [Internet]. </w:t>
      </w:r>
      <w:r>
        <w:t xml:space="preserve">American College of Surgeons; 2015. Disponível em: </w:t>
      </w:r>
      <w:hyperlink r:id="rId15">
        <w:r>
          <w:rPr>
            <w:rStyle w:val="Hyperlink"/>
          </w:rPr>
          <w:t>https://www.facs.org/~/media/files/quality%20programs/nsqip/nsqip_puf_userguide_2014.ashx</w:t>
        </w:r>
      </w:hyperlink>
      <w:r>
        <w:t xml:space="preserve"> </w:t>
      </w:r>
    </w:p>
    <w:p w14:paraId="50FFBB38" w14:textId="77777777" w:rsidR="009F6263" w:rsidRPr="00D213FE" w:rsidRDefault="009F6263">
      <w:pPr>
        <w:spacing w:line="240" w:lineRule="auto"/>
        <w:rPr>
          <w:rFonts w:cs="Arial"/>
          <w:kern w:val="32"/>
          <w:szCs w:val="22"/>
        </w:rPr>
      </w:pPr>
      <w:r>
        <w:br w:type="page"/>
      </w:r>
    </w:p>
    <w:p w14:paraId="7DBE40F6" w14:textId="77777777" w:rsidR="00CE52F6" w:rsidRDefault="001535CD" w:rsidP="009F6263">
      <w:pPr>
        <w:pStyle w:val="Heading1"/>
        <w:tabs>
          <w:tab w:val="clear" w:pos="425"/>
        </w:tabs>
        <w:spacing w:before="0" w:after="0"/>
        <w:ind w:left="426" w:hanging="426"/>
        <w:contextualSpacing/>
        <w:rPr>
          <w:rFonts w:cs="Arial"/>
        </w:rPr>
      </w:pPr>
      <w:bookmarkStart w:id="99" w:name="_Toc466030515"/>
      <w:bookmarkStart w:id="100" w:name="_Toc508183536"/>
      <w:r>
        <w:t>ANEXO 1: Definições</w:t>
      </w:r>
      <w:bookmarkEnd w:id="99"/>
      <w:bookmarkEnd w:id="100"/>
    </w:p>
    <w:p w14:paraId="06CF139C" w14:textId="77777777" w:rsidR="00CE52F6" w:rsidRDefault="00CE52F6" w:rsidP="005D689D">
      <w:pPr>
        <w:pStyle w:val="Heading1"/>
        <w:tabs>
          <w:tab w:val="clear" w:pos="425"/>
        </w:tabs>
        <w:spacing w:before="0" w:after="0"/>
        <w:ind w:left="426" w:hanging="426"/>
        <w:contextualSpacing/>
        <w:jc w:val="both"/>
        <w:rPr>
          <w:rFonts w:cs="Arial"/>
        </w:rPr>
      </w:pPr>
    </w:p>
    <w:p w14:paraId="512FED0F" w14:textId="63373067" w:rsidR="00B912CC" w:rsidRPr="00CF03AA" w:rsidRDefault="007A6AB9" w:rsidP="005D689D">
      <w:pPr>
        <w:pStyle w:val="Heading1"/>
        <w:tabs>
          <w:tab w:val="clear" w:pos="425"/>
        </w:tabs>
        <w:spacing w:before="0" w:after="0"/>
        <w:contextualSpacing/>
        <w:jc w:val="both"/>
        <w:rPr>
          <w:szCs w:val="22"/>
        </w:rPr>
      </w:pPr>
      <w:bookmarkStart w:id="101" w:name="_Toc466030516"/>
      <w:bookmarkStart w:id="102" w:name="_Toc508183537"/>
      <w:r>
        <w:t xml:space="preserve">1. Complicações pós-operatórias </w:t>
      </w:r>
      <w:r w:rsidR="00966C85">
        <w:rPr>
          <w:szCs w:val="22"/>
        </w:rPr>
        <w:fldChar w:fldCharType="begin">
          <w:fldData xml:space="preserve">PEVuZE5vdGU+PENpdGU+PEF1dGhvcj5KYW1tZXI8L0F1dGhvcj48WWVhcj4yMDE1PC9ZZWFyPjxS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</w:fldData>
        </w:fldChar>
      </w:r>
      <w:r w:rsidR="00553CDA">
        <w:rPr>
          <w:szCs w:val="22"/>
        </w:rPr>
        <w:instrText xml:space="preserve"> ADDIN EN.CITE </w:instrText>
      </w:r>
      <w:r w:rsidR="00966C85">
        <w:rPr>
          <w:szCs w:val="22"/>
        </w:rPr>
        <w:fldChar w:fldCharType="begin">
          <w:fldData xml:space="preserve">PEVuZE5vdGU+PENpdGU+PEF1dGhvcj5KYW1tZXI8L0F1dGhvcj48WWVhcj4yMDE1PC9ZZWFyPjxS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</w:fldData>
        </w:fldChar>
      </w:r>
      <w:r w:rsidR="00553CDA">
        <w:rPr>
          <w:szCs w:val="22"/>
        </w:rPr>
        <w:instrText xml:space="preserve"> ADDIN EN.CITE.DATA </w:instrText>
      </w:r>
      <w:r w:rsidR="00966C85">
        <w:rPr>
          <w:szCs w:val="22"/>
        </w:rPr>
      </w:r>
      <w:r w:rsidR="00966C85">
        <w:rPr>
          <w:szCs w:val="22"/>
        </w:rPr>
        <w:fldChar w:fldCharType="end"/>
      </w:r>
      <w:r w:rsidR="00966C85">
        <w:rPr>
          <w:szCs w:val="22"/>
        </w:rPr>
      </w:r>
      <w:r w:rsidR="00966C85">
        <w:rPr>
          <w:szCs w:val="22"/>
        </w:rPr>
        <w:fldChar w:fldCharType="separate"/>
      </w:r>
      <w:r w:rsidR="00553CDA">
        <w:rPr>
          <w:noProof/>
          <w:szCs w:val="22"/>
        </w:rPr>
        <w:t>(</w:t>
      </w:r>
      <w:hyperlink w:anchor="_ENREF_24" w:tooltip="Jammer, 2015 #115" w:history="1">
        <w:r w:rsidR="00553CDA">
          <w:rPr>
            <w:noProof/>
            <w:szCs w:val="22"/>
          </w:rPr>
          <w:t>24</w:t>
        </w:r>
      </w:hyperlink>
      <w:r w:rsidR="00553CDA">
        <w:rPr>
          <w:noProof/>
          <w:szCs w:val="22"/>
        </w:rPr>
        <w:t>)</w:t>
      </w:r>
      <w:bookmarkEnd w:id="101"/>
      <w:bookmarkEnd w:id="102"/>
      <w:r w:rsidR="00966C85">
        <w:rPr>
          <w:szCs w:val="22"/>
        </w:rPr>
        <w:fldChar w:fldCharType="end"/>
      </w:r>
    </w:p>
    <w:p w14:paraId="36A64ACA" w14:textId="77777777" w:rsidR="000167EC" w:rsidRDefault="000167EC" w:rsidP="005D689D">
      <w:pPr>
        <w:contextualSpacing/>
        <w:jc w:val="both"/>
        <w:rPr>
          <w:rFonts w:cs="Arial"/>
          <w:szCs w:val="22"/>
        </w:rPr>
      </w:pPr>
      <w:r>
        <w:t xml:space="preserve">O resultado primário é uma infecção pós-operatória com grau II ou superior na escala de complicações cirúrgicas de Clavien-Dindo dentro de 30 dias </w:t>
      </w:r>
      <w:r w:rsidR="007640EA">
        <w:t xml:space="preserve">após </w:t>
      </w:r>
      <w:r>
        <w:t>a randomização</w:t>
      </w:r>
      <w:r w:rsidR="002F5F62">
        <w:t>.</w:t>
      </w:r>
      <w:r>
        <w:t xml:space="preserve"> Isto é definido pela ocorrência de uma ou mais das seguintes infecções:</w:t>
      </w:r>
    </w:p>
    <w:p w14:paraId="24900844" w14:textId="77777777" w:rsidR="00DA2EB2" w:rsidRPr="00BE6D9E" w:rsidRDefault="00DA2EB2" w:rsidP="00D437A6">
      <w:pPr>
        <w:pStyle w:val="CommentText"/>
        <w:numPr>
          <w:ilvl w:val="0"/>
          <w:numId w:val="30"/>
        </w:numPr>
        <w:contextualSpacing/>
        <w:jc w:val="both"/>
        <w:rPr>
          <w:rFonts w:cs="Arial"/>
          <w:sz w:val="22"/>
          <w:szCs w:val="22"/>
        </w:rPr>
      </w:pPr>
      <w:r>
        <w:rPr>
          <w:sz w:val="22"/>
        </w:rPr>
        <w:t>Infecção superficial no sítio cirúrgico;</w:t>
      </w:r>
    </w:p>
    <w:p w14:paraId="4499ED39" w14:textId="5748C89E" w:rsidR="00DA2EB2" w:rsidRPr="00BE6D9E" w:rsidRDefault="00DA2EB2" w:rsidP="00D437A6">
      <w:pPr>
        <w:pStyle w:val="CommentText"/>
        <w:numPr>
          <w:ilvl w:val="0"/>
          <w:numId w:val="30"/>
        </w:numPr>
        <w:contextualSpacing/>
        <w:jc w:val="both"/>
        <w:rPr>
          <w:rFonts w:cs="Arial"/>
          <w:sz w:val="22"/>
          <w:szCs w:val="22"/>
        </w:rPr>
      </w:pPr>
      <w:r>
        <w:rPr>
          <w:sz w:val="22"/>
        </w:rPr>
        <w:t>Infecção profunda no sítio cirúrgico;</w:t>
      </w:r>
    </w:p>
    <w:p w14:paraId="602E7959" w14:textId="77777777" w:rsidR="00DA2EB2" w:rsidRPr="00BE6D9E" w:rsidRDefault="00DA2EB2" w:rsidP="00D437A6">
      <w:pPr>
        <w:pStyle w:val="CommentText"/>
        <w:numPr>
          <w:ilvl w:val="0"/>
          <w:numId w:val="30"/>
        </w:numPr>
        <w:contextualSpacing/>
        <w:jc w:val="both"/>
        <w:rPr>
          <w:rFonts w:cs="Arial"/>
          <w:sz w:val="22"/>
          <w:szCs w:val="22"/>
        </w:rPr>
      </w:pPr>
      <w:r>
        <w:rPr>
          <w:sz w:val="22"/>
        </w:rPr>
        <w:t>Infecção de órgão/cavidade no sítio cirúrgico;</w:t>
      </w:r>
    </w:p>
    <w:p w14:paraId="71F23CC5" w14:textId="77777777" w:rsidR="00DA2EB2" w:rsidRPr="00BE6D9E" w:rsidRDefault="00DA2EB2" w:rsidP="00D437A6">
      <w:pPr>
        <w:pStyle w:val="CommentText"/>
        <w:numPr>
          <w:ilvl w:val="0"/>
          <w:numId w:val="30"/>
        </w:numPr>
        <w:contextualSpacing/>
        <w:jc w:val="both"/>
        <w:rPr>
          <w:rFonts w:cs="Arial"/>
          <w:sz w:val="22"/>
          <w:szCs w:val="22"/>
        </w:rPr>
      </w:pPr>
      <w:r>
        <w:rPr>
          <w:sz w:val="22"/>
        </w:rPr>
        <w:t>Pneumonia;</w:t>
      </w:r>
    </w:p>
    <w:p w14:paraId="751251EA" w14:textId="77777777" w:rsidR="00DA2EB2" w:rsidRPr="00BE6D9E" w:rsidRDefault="00DA2EB2" w:rsidP="00D437A6">
      <w:pPr>
        <w:pStyle w:val="CommentText"/>
        <w:numPr>
          <w:ilvl w:val="0"/>
          <w:numId w:val="30"/>
        </w:numPr>
        <w:contextualSpacing/>
        <w:jc w:val="both"/>
        <w:rPr>
          <w:rFonts w:cs="Arial"/>
          <w:sz w:val="22"/>
          <w:szCs w:val="22"/>
        </w:rPr>
      </w:pPr>
      <w:r>
        <w:rPr>
          <w:sz w:val="22"/>
        </w:rPr>
        <w:t>Infecção das vias urinárias;</w:t>
      </w:r>
    </w:p>
    <w:p w14:paraId="5ADD840E" w14:textId="77777777" w:rsidR="00DA2EB2" w:rsidRPr="00BE6D9E" w:rsidRDefault="00DA2EB2" w:rsidP="00D437A6">
      <w:pPr>
        <w:pStyle w:val="CommentText"/>
        <w:numPr>
          <w:ilvl w:val="0"/>
          <w:numId w:val="30"/>
        </w:numPr>
        <w:contextualSpacing/>
        <w:jc w:val="both"/>
        <w:rPr>
          <w:rFonts w:cs="Arial"/>
          <w:sz w:val="22"/>
          <w:szCs w:val="22"/>
        </w:rPr>
      </w:pPr>
      <w:r>
        <w:rPr>
          <w:sz w:val="22"/>
        </w:rPr>
        <w:t>Infecção da corrente sanguínea confirmada por análise laboratorial;</w:t>
      </w:r>
    </w:p>
    <w:p w14:paraId="7F1FE546" w14:textId="1E454724" w:rsidR="00DA2EB2" w:rsidRDefault="00DA2EB2" w:rsidP="00D437A6">
      <w:pPr>
        <w:pStyle w:val="CommentText"/>
        <w:numPr>
          <w:ilvl w:val="0"/>
          <w:numId w:val="30"/>
        </w:numPr>
        <w:contextualSpacing/>
        <w:jc w:val="both"/>
        <w:rPr>
          <w:rFonts w:cs="Arial"/>
          <w:sz w:val="22"/>
          <w:szCs w:val="22"/>
        </w:rPr>
      </w:pPr>
      <w:r>
        <w:rPr>
          <w:sz w:val="22"/>
        </w:rPr>
        <w:t>Infecção, origem incerta; definida como pode</w:t>
      </w:r>
      <w:r w:rsidR="007640EA">
        <w:rPr>
          <w:sz w:val="22"/>
        </w:rPr>
        <w:t>ndo</w:t>
      </w:r>
      <w:r>
        <w:rPr>
          <w:sz w:val="22"/>
        </w:rPr>
        <w:t xml:space="preserve"> ser mais de uma das supracitadas (ou seja, i-vi), mas não est</w:t>
      </w:r>
      <w:r w:rsidR="007640EA">
        <w:rPr>
          <w:sz w:val="22"/>
        </w:rPr>
        <w:t>ando</w:t>
      </w:r>
      <w:r>
        <w:rPr>
          <w:sz w:val="22"/>
        </w:rPr>
        <w:t xml:space="preserve"> claro qual delas.</w:t>
      </w:r>
    </w:p>
    <w:p w14:paraId="05ABA69E" w14:textId="77777777" w:rsidR="000167EC" w:rsidRDefault="000167EC" w:rsidP="005D689D">
      <w:pPr>
        <w:jc w:val="both"/>
        <w:rPr>
          <w:rFonts w:cs="Arial"/>
          <w:szCs w:val="22"/>
        </w:rPr>
      </w:pPr>
    </w:p>
    <w:p w14:paraId="2523BC5D" w14:textId="77777777" w:rsidR="000167EC" w:rsidRPr="000167EC" w:rsidRDefault="000167EC" w:rsidP="005D689D">
      <w:pPr>
        <w:contextualSpacing/>
        <w:jc w:val="both"/>
        <w:rPr>
          <w:rFonts w:cs="Arial"/>
          <w:szCs w:val="22"/>
        </w:rPr>
      </w:pPr>
      <w:r>
        <w:t>Os pacientes que falecerem antes do dia 30 sem terem tido uma infecção serão computados como "nenhuma infecção". Isto se deve ao fato de que um óbito causado por um tipo diferente de complicação estará relacionado a um mecanismo biológico diferente. Os pacientes que falecerem antes do dia 30 tendo tido uma infecção serão computados como tendo uma infecção. A data da infecção é definida como sendo a data em que um paciente recebeu tratamento pela primeira vez para essa infecção. Nos casos com mais de uma infecção, somente será registrada a data da primeira infecção. A infecção deverá alcançar um grau II ou superior na escala de Clavien-Dindo conforme descrito a seguir:</w:t>
      </w:r>
    </w:p>
    <w:p w14:paraId="66FE01C4" w14:textId="77777777" w:rsidR="000167EC" w:rsidRDefault="000167EC" w:rsidP="005D689D">
      <w:pPr>
        <w:pStyle w:val="Header"/>
        <w:contextualSpacing/>
        <w:jc w:val="both"/>
        <w:rPr>
          <w:rFonts w:cs="Calibri"/>
          <w:b/>
          <w:i/>
          <w:szCs w:val="20"/>
        </w:rPr>
      </w:pPr>
    </w:p>
    <w:p w14:paraId="3996AF12" w14:textId="77777777" w:rsidR="00AE1072" w:rsidRPr="00C917B1" w:rsidRDefault="00AE1072" w:rsidP="005D689D">
      <w:pPr>
        <w:pStyle w:val="Header"/>
        <w:contextualSpacing/>
        <w:jc w:val="both"/>
        <w:rPr>
          <w:rFonts w:cs="Calibri"/>
          <w:i/>
          <w:szCs w:val="20"/>
        </w:rPr>
      </w:pPr>
      <w:r>
        <w:rPr>
          <w:i/>
        </w:rPr>
        <w:t>Graduação na escala de Clavien-Dindo:</w:t>
      </w:r>
    </w:p>
    <w:p w14:paraId="64C70A79" w14:textId="77777777" w:rsidR="00AE1072" w:rsidRPr="006C5787" w:rsidRDefault="00AE1072" w:rsidP="005D689D">
      <w:pPr>
        <w:pStyle w:val="Header"/>
        <w:contextualSpacing/>
        <w:jc w:val="both"/>
        <w:rPr>
          <w:rFonts w:cs="Calibri"/>
          <w:sz w:val="10"/>
          <w:szCs w:val="8"/>
        </w:rPr>
      </w:pPr>
    </w:p>
    <w:p w14:paraId="42E9A1FE" w14:textId="62C6FF93" w:rsidR="00AE1072" w:rsidRPr="006C5787" w:rsidRDefault="00AE1072" w:rsidP="00D437A6">
      <w:pPr>
        <w:pStyle w:val="Header"/>
        <w:numPr>
          <w:ilvl w:val="0"/>
          <w:numId w:val="17"/>
        </w:numPr>
        <w:tabs>
          <w:tab w:val="clear" w:pos="4153"/>
          <w:tab w:val="clear" w:pos="8306"/>
          <w:tab w:val="center" w:pos="4680"/>
          <w:tab w:val="right" w:pos="9360"/>
        </w:tabs>
        <w:contextualSpacing/>
        <w:jc w:val="both"/>
        <w:rPr>
          <w:rFonts w:cs="Calibri"/>
          <w:szCs w:val="20"/>
        </w:rPr>
      </w:pPr>
      <w:r>
        <w:t>Qualquer desvio do curso pós-operatório ideal sem necessidade de tratamento farmacológico ou de intervenções cirúrgicas, endoscópicas e radiológicas. Drogas antieméticas, antipiréticos, diuréticos, eletrólitos ou fisioterapia não são considerados um desvio do curso pós-operatório normal.</w:t>
      </w:r>
    </w:p>
    <w:p w14:paraId="17F8658B" w14:textId="07479FE5" w:rsidR="00AE1072" w:rsidRPr="006C5787" w:rsidRDefault="00AE1072" w:rsidP="00D437A6">
      <w:pPr>
        <w:pStyle w:val="Header"/>
        <w:numPr>
          <w:ilvl w:val="0"/>
          <w:numId w:val="17"/>
        </w:numPr>
        <w:tabs>
          <w:tab w:val="clear" w:pos="4153"/>
          <w:tab w:val="clear" w:pos="8306"/>
          <w:tab w:val="center" w:pos="4680"/>
          <w:tab w:val="right" w:pos="9360"/>
        </w:tabs>
        <w:contextualSpacing/>
        <w:jc w:val="both"/>
        <w:rPr>
          <w:rFonts w:cs="Calibri"/>
          <w:szCs w:val="20"/>
        </w:rPr>
      </w:pPr>
      <w:r>
        <w:t xml:space="preserve">Requer tratamento farmacológico com fármacos diferentes daqueles </w:t>
      </w:r>
      <w:r w:rsidR="005E5C2F">
        <w:t>excluídos</w:t>
      </w:r>
      <w:r>
        <w:t xml:space="preserve"> para complicações de grau I (incluindo transfusão sanguínea ou nutrição parenteral total).</w:t>
      </w:r>
    </w:p>
    <w:p w14:paraId="2F5C37ED" w14:textId="77777777" w:rsidR="00AE1072" w:rsidRPr="006C5787" w:rsidRDefault="00AE1072" w:rsidP="00D437A6">
      <w:pPr>
        <w:pStyle w:val="Header"/>
        <w:numPr>
          <w:ilvl w:val="0"/>
          <w:numId w:val="17"/>
        </w:numPr>
        <w:tabs>
          <w:tab w:val="clear" w:pos="4153"/>
          <w:tab w:val="clear" w:pos="8306"/>
          <w:tab w:val="center" w:pos="4680"/>
          <w:tab w:val="right" w:pos="9360"/>
        </w:tabs>
        <w:contextualSpacing/>
        <w:jc w:val="both"/>
        <w:rPr>
          <w:rFonts w:cs="Calibri"/>
          <w:szCs w:val="20"/>
        </w:rPr>
      </w:pPr>
      <w:r>
        <w:t>Exige intervenção cirúrgica, endoscópica ou radiológica.</w:t>
      </w:r>
    </w:p>
    <w:p w14:paraId="7FDA3BF0" w14:textId="77777777" w:rsidR="00AE1072" w:rsidRPr="006C5787" w:rsidRDefault="00AE1072" w:rsidP="00D437A6">
      <w:pPr>
        <w:pStyle w:val="Header"/>
        <w:numPr>
          <w:ilvl w:val="0"/>
          <w:numId w:val="17"/>
        </w:numPr>
        <w:tabs>
          <w:tab w:val="clear" w:pos="4153"/>
          <w:tab w:val="clear" w:pos="8306"/>
          <w:tab w:val="center" w:pos="4680"/>
          <w:tab w:val="right" w:pos="9360"/>
        </w:tabs>
        <w:contextualSpacing/>
        <w:jc w:val="both"/>
        <w:rPr>
          <w:rFonts w:cs="Calibri"/>
          <w:szCs w:val="20"/>
        </w:rPr>
      </w:pPr>
      <w:r>
        <w:t>Complicação potencialmente fatal exigindo admissão na UTI.</w:t>
      </w:r>
    </w:p>
    <w:p w14:paraId="428B7DB3" w14:textId="2D5DC936" w:rsidR="00E769BE" w:rsidRPr="00E92DEB" w:rsidRDefault="00AE1072" w:rsidP="00E069DC">
      <w:pPr>
        <w:ind w:left="142"/>
        <w:contextualSpacing/>
        <w:jc w:val="both"/>
        <w:rPr>
          <w:rFonts w:cs="Arial"/>
          <w:bCs/>
        </w:rPr>
      </w:pPr>
      <w:r>
        <w:t>V.</w:t>
      </w:r>
      <w:r>
        <w:tab/>
        <w:t>Óbito</w:t>
      </w:r>
      <w:r w:rsidR="004E3C46">
        <w:t>.</w:t>
      </w:r>
    </w:p>
    <w:p w14:paraId="7C6219C2" w14:textId="77777777" w:rsidR="005D689D" w:rsidRDefault="005D689D">
      <w:pPr>
        <w:spacing w:line="240" w:lineRule="auto"/>
        <w:rPr>
          <w:rFonts w:cs="Arial"/>
          <w:b/>
          <w:bCs/>
          <w:i/>
        </w:rPr>
      </w:pPr>
    </w:p>
    <w:p w14:paraId="5A833098" w14:textId="77777777" w:rsidR="00AA2297" w:rsidRPr="00CF03AA" w:rsidRDefault="00CE52F6" w:rsidP="005D689D">
      <w:pPr>
        <w:contextualSpacing/>
        <w:jc w:val="both"/>
        <w:rPr>
          <w:rFonts w:cs="Arial"/>
          <w:b/>
          <w:bCs/>
          <w:i/>
        </w:rPr>
      </w:pPr>
      <w:r>
        <w:rPr>
          <w:b/>
          <w:i/>
        </w:rPr>
        <w:t>Definições de infecções</w:t>
      </w:r>
    </w:p>
    <w:p w14:paraId="75EC20A4" w14:textId="77777777" w:rsidR="000167EC" w:rsidRDefault="000167EC" w:rsidP="005D689D">
      <w:pPr>
        <w:contextualSpacing/>
        <w:jc w:val="both"/>
        <w:rPr>
          <w:rFonts w:cs="Arial"/>
          <w:bCs/>
          <w:i/>
        </w:rPr>
      </w:pPr>
      <w:r>
        <w:rPr>
          <w:i/>
        </w:rPr>
        <w:t>Infecção do sítio cirúrgico (incisional superficial)</w:t>
      </w:r>
    </w:p>
    <w:p w14:paraId="7EAD2338" w14:textId="01FCDBA3" w:rsidR="00DB08C5" w:rsidRPr="00E92DEB" w:rsidRDefault="00DB08C5" w:rsidP="00DB08C5">
      <w:pPr>
        <w:contextualSpacing/>
        <w:jc w:val="both"/>
        <w:rPr>
          <w:rFonts w:cs="Arial"/>
          <w:bCs/>
        </w:rPr>
      </w:pPr>
      <w:r>
        <w:t>Uma infecção no local da incisão cirúrgica que corresponda aos seguintes critérios:</w:t>
      </w:r>
    </w:p>
    <w:p w14:paraId="532D0E0F" w14:textId="5C82A679" w:rsidR="000167EC" w:rsidRPr="00E92DEB" w:rsidRDefault="00DB08C5" w:rsidP="00D437A6">
      <w:pPr>
        <w:numPr>
          <w:ilvl w:val="1"/>
          <w:numId w:val="9"/>
        </w:numPr>
        <w:ind w:left="426" w:hanging="426"/>
        <w:contextualSpacing/>
        <w:jc w:val="both"/>
        <w:rPr>
          <w:rFonts w:cs="Arial"/>
          <w:bCs/>
        </w:rPr>
      </w:pPr>
      <w:r>
        <w:t xml:space="preserve">Envolve apenas </w:t>
      </w:r>
      <w:r w:rsidR="00811EAD">
        <w:t xml:space="preserve">a </w:t>
      </w:r>
      <w:r>
        <w:t xml:space="preserve">pele e </w:t>
      </w:r>
      <w:r w:rsidR="00811EAD">
        <w:t xml:space="preserve">o </w:t>
      </w:r>
      <w:r>
        <w:t>tecido subcutâneo da incisão e</w:t>
      </w:r>
    </w:p>
    <w:p w14:paraId="028132E4" w14:textId="77777777" w:rsidR="000167EC" w:rsidRPr="00E92DEB" w:rsidRDefault="00811EAD" w:rsidP="00D437A6">
      <w:pPr>
        <w:numPr>
          <w:ilvl w:val="1"/>
          <w:numId w:val="9"/>
        </w:numPr>
        <w:ind w:left="426" w:hanging="426"/>
        <w:contextualSpacing/>
        <w:jc w:val="both"/>
        <w:rPr>
          <w:rFonts w:cs="Arial"/>
          <w:bCs/>
        </w:rPr>
      </w:pPr>
      <w:r>
        <w:t>O</w:t>
      </w:r>
      <w:r w:rsidR="000167EC">
        <w:t xml:space="preserve"> paciente apresenta pelo menos um dos seguintes critérios:</w:t>
      </w:r>
    </w:p>
    <w:p w14:paraId="3189F559" w14:textId="1B395AE2" w:rsidR="000167EC" w:rsidRPr="00E92DEB" w:rsidRDefault="000167EC" w:rsidP="00D760BA">
      <w:pPr>
        <w:numPr>
          <w:ilvl w:val="0"/>
          <w:numId w:val="37"/>
        </w:numPr>
        <w:ind w:left="851" w:hanging="567"/>
        <w:contextualSpacing/>
        <w:jc w:val="both"/>
        <w:rPr>
          <w:rFonts w:cs="Arial"/>
          <w:bCs/>
        </w:rPr>
      </w:pPr>
      <w:r>
        <w:t>drenagem purulenta da incisão superficial;</w:t>
      </w:r>
    </w:p>
    <w:p w14:paraId="14962ABC" w14:textId="77777777" w:rsidR="000167EC" w:rsidRPr="00E92DEB" w:rsidRDefault="000167EC" w:rsidP="00D760BA">
      <w:pPr>
        <w:numPr>
          <w:ilvl w:val="0"/>
          <w:numId w:val="37"/>
        </w:numPr>
        <w:ind w:left="851" w:hanging="567"/>
        <w:contextualSpacing/>
        <w:jc w:val="both"/>
        <w:rPr>
          <w:rFonts w:cs="Arial"/>
          <w:bCs/>
        </w:rPr>
      </w:pPr>
      <w:r>
        <w:t>organismos isolados a partir de uma cultura positiva de secreção ou tecido da incisão superficial, obtido assepticamente</w:t>
      </w:r>
    </w:p>
    <w:p w14:paraId="5FF218C8" w14:textId="0260624D" w:rsidR="000167EC" w:rsidRPr="00E92DEB" w:rsidRDefault="000167EC" w:rsidP="00D760BA">
      <w:pPr>
        <w:numPr>
          <w:ilvl w:val="0"/>
          <w:numId w:val="37"/>
        </w:numPr>
        <w:ind w:left="851" w:hanging="567"/>
        <w:contextualSpacing/>
        <w:jc w:val="both"/>
        <w:rPr>
          <w:rFonts w:cs="Arial"/>
          <w:bCs/>
        </w:rPr>
      </w:pPr>
      <w:r>
        <w:t>pelo menos um dos seguintes sintomas ou sinais de infecção: dor ou sensibilidade, edema local, hiperemia ou calor</w:t>
      </w:r>
      <w:r w:rsidR="00CF58D4">
        <w:t>,</w:t>
      </w:r>
      <w:r>
        <w:t xml:space="preserve"> e a incisão superficial é deliberadamente aberta pelo cirurgião e apresenta cultura positiva </w:t>
      </w:r>
      <w:r w:rsidR="00165F49">
        <w:t>(</w:t>
      </w:r>
      <w:r>
        <w:t>ou não foi feita cultura</w:t>
      </w:r>
      <w:r w:rsidR="00165F49">
        <w:t>)</w:t>
      </w:r>
      <w:r>
        <w:t>. Um resultado de cultura negativa não se aplica a este critério</w:t>
      </w:r>
    </w:p>
    <w:p w14:paraId="65AD8A1E" w14:textId="77777777" w:rsidR="000167EC" w:rsidRPr="00E92DEB" w:rsidRDefault="000167EC" w:rsidP="00D760BA">
      <w:pPr>
        <w:numPr>
          <w:ilvl w:val="0"/>
          <w:numId w:val="37"/>
        </w:numPr>
        <w:ind w:left="851" w:hanging="567"/>
        <w:contextualSpacing/>
        <w:jc w:val="both"/>
        <w:rPr>
          <w:rFonts w:cs="Arial"/>
          <w:bCs/>
        </w:rPr>
      </w:pPr>
      <w:r>
        <w:t>diagnóstico de infecção incisional do sítio cirúrgico pelo cirurgião ou médico assistente</w:t>
      </w:r>
    </w:p>
    <w:p w14:paraId="4D989C74" w14:textId="77777777" w:rsidR="000167EC" w:rsidRDefault="000167EC" w:rsidP="005D689D">
      <w:pPr>
        <w:contextualSpacing/>
        <w:jc w:val="both"/>
        <w:rPr>
          <w:rFonts w:cs="Arial"/>
          <w:b/>
          <w:bCs/>
          <w:i/>
        </w:rPr>
      </w:pPr>
    </w:p>
    <w:p w14:paraId="72B6FC22" w14:textId="77777777" w:rsidR="000167EC" w:rsidRDefault="000167EC" w:rsidP="005D689D">
      <w:pPr>
        <w:contextualSpacing/>
        <w:jc w:val="both"/>
        <w:rPr>
          <w:rFonts w:cs="Arial"/>
          <w:bCs/>
          <w:i/>
        </w:rPr>
      </w:pPr>
      <w:r>
        <w:rPr>
          <w:i/>
        </w:rPr>
        <w:t>Infecção do sítio cirúrgico (incisional profunda)</w:t>
      </w:r>
    </w:p>
    <w:p w14:paraId="70F39710" w14:textId="46A7E16A" w:rsidR="00DB08C5" w:rsidRPr="00E92DEB" w:rsidRDefault="00DB08C5" w:rsidP="00DB08C5">
      <w:pPr>
        <w:contextualSpacing/>
        <w:jc w:val="both"/>
        <w:rPr>
          <w:rFonts w:cs="Arial"/>
          <w:bCs/>
        </w:rPr>
      </w:pPr>
      <w:r>
        <w:t>Uma infecção no local da incisão cirúrgica que corresponda aos seguintes critérios:</w:t>
      </w:r>
    </w:p>
    <w:p w14:paraId="4BF7449C" w14:textId="77777777" w:rsidR="000167EC" w:rsidRPr="00E92DEB" w:rsidRDefault="000167EC" w:rsidP="00D437A6">
      <w:pPr>
        <w:numPr>
          <w:ilvl w:val="0"/>
          <w:numId w:val="10"/>
        </w:numPr>
        <w:ind w:left="426" w:hanging="426"/>
        <w:contextualSpacing/>
        <w:jc w:val="both"/>
        <w:rPr>
          <w:rFonts w:cs="Arial"/>
          <w:bCs/>
        </w:rPr>
      </w:pPr>
      <w:r>
        <w:t>Envolve tecidos moles profundos à incisão (ex.: fáscia e/ou músculos) e</w:t>
      </w:r>
    </w:p>
    <w:p w14:paraId="681001FD" w14:textId="77777777" w:rsidR="000167EC" w:rsidRPr="00E92DEB" w:rsidRDefault="00495084" w:rsidP="00D437A6">
      <w:pPr>
        <w:numPr>
          <w:ilvl w:val="0"/>
          <w:numId w:val="10"/>
        </w:numPr>
        <w:ind w:left="426" w:hanging="426"/>
        <w:contextualSpacing/>
        <w:jc w:val="both"/>
        <w:rPr>
          <w:rFonts w:cs="Arial"/>
          <w:bCs/>
        </w:rPr>
      </w:pPr>
      <w:r>
        <w:t>O</w:t>
      </w:r>
      <w:r w:rsidR="000167EC">
        <w:t xml:space="preserve"> paciente apresenta pelo menos um dos seguintes critérios:</w:t>
      </w:r>
    </w:p>
    <w:p w14:paraId="492947A3" w14:textId="77777777" w:rsidR="000167EC" w:rsidRPr="00E92DEB" w:rsidRDefault="0096090C" w:rsidP="00D760BA">
      <w:pPr>
        <w:numPr>
          <w:ilvl w:val="0"/>
          <w:numId w:val="38"/>
        </w:numPr>
        <w:ind w:left="851" w:hanging="567"/>
        <w:contextualSpacing/>
        <w:jc w:val="both"/>
        <w:rPr>
          <w:rFonts w:cs="Arial"/>
          <w:bCs/>
        </w:rPr>
      </w:pPr>
      <w:r>
        <w:t>d</w:t>
      </w:r>
      <w:r w:rsidR="000167EC">
        <w:t>renagem purulenta da incisão profunda, mas não de órgão/cavidade</w:t>
      </w:r>
    </w:p>
    <w:p w14:paraId="4FAE144D" w14:textId="3DC5E645" w:rsidR="000167EC" w:rsidRPr="00E92DEB" w:rsidRDefault="0096090C" w:rsidP="00D760BA">
      <w:pPr>
        <w:numPr>
          <w:ilvl w:val="0"/>
          <w:numId w:val="38"/>
        </w:numPr>
        <w:ind w:left="851" w:hanging="567"/>
        <w:contextualSpacing/>
        <w:jc w:val="both"/>
        <w:rPr>
          <w:rFonts w:cs="Arial"/>
          <w:bCs/>
        </w:rPr>
      </w:pPr>
      <w:r>
        <w:t>d</w:t>
      </w:r>
      <w:r w:rsidR="000167EC">
        <w:t xml:space="preserve">eiscência espontânea da incisão profunda ou abertura deliberada da ferida pelo cirurgião, cultura positiva ou sem cultura quando o paciente apresentar pelo menos um dos seguintes sinais ou sintomas: febre (acima </w:t>
      </w:r>
      <w:r w:rsidR="00F953D3">
        <w:t xml:space="preserve">de </w:t>
      </w:r>
      <w:r w:rsidR="000167EC">
        <w:t>38ºC), dor localizada ou sensibilidade. Um resultado de cultura negativa não se aplica a este critério</w:t>
      </w:r>
    </w:p>
    <w:p w14:paraId="644DB0E0" w14:textId="6C1FB9A8" w:rsidR="000167EC" w:rsidRPr="00E92DEB" w:rsidRDefault="000167EC" w:rsidP="00D760BA">
      <w:pPr>
        <w:numPr>
          <w:ilvl w:val="0"/>
          <w:numId w:val="38"/>
        </w:numPr>
        <w:ind w:left="851" w:hanging="567"/>
        <w:contextualSpacing/>
        <w:jc w:val="both"/>
        <w:rPr>
          <w:rFonts w:cs="Arial"/>
          <w:bCs/>
        </w:rPr>
      </w:pPr>
      <w:r>
        <w:t>presença de abscesso ou outra evidência que a infecção envolva os planos profundos da ferida, identificada em exame direto, durante cirurgia, ou através de exame histocitopatológico ou de imagem</w:t>
      </w:r>
    </w:p>
    <w:p w14:paraId="13877897" w14:textId="77777777" w:rsidR="000167EC" w:rsidRPr="00E92DEB" w:rsidRDefault="000167EC" w:rsidP="00D760BA">
      <w:pPr>
        <w:numPr>
          <w:ilvl w:val="0"/>
          <w:numId w:val="38"/>
        </w:numPr>
        <w:ind w:left="851" w:hanging="567"/>
        <w:contextualSpacing/>
        <w:jc w:val="both"/>
        <w:rPr>
          <w:rFonts w:cs="Arial"/>
          <w:bCs/>
        </w:rPr>
      </w:pPr>
      <w:r>
        <w:t xml:space="preserve">diagnóstico de infecção incisional </w:t>
      </w:r>
      <w:r w:rsidR="007C3500">
        <w:t>d</w:t>
      </w:r>
      <w:r>
        <w:t>o sítio cirúrgico pelo cirurgião ou médico assistente</w:t>
      </w:r>
    </w:p>
    <w:p w14:paraId="4F29EBF5" w14:textId="77777777" w:rsidR="00672203" w:rsidRDefault="00672203">
      <w:pPr>
        <w:spacing w:line="240" w:lineRule="auto"/>
        <w:rPr>
          <w:rFonts w:cs="Arial"/>
          <w:bCs/>
          <w:i/>
        </w:rPr>
      </w:pPr>
    </w:p>
    <w:p w14:paraId="164DEB33" w14:textId="77777777" w:rsidR="000167EC" w:rsidRPr="00DB08C5" w:rsidRDefault="000167EC" w:rsidP="005D689D">
      <w:pPr>
        <w:contextualSpacing/>
        <w:jc w:val="both"/>
        <w:rPr>
          <w:rFonts w:cs="Arial"/>
          <w:bCs/>
          <w:i/>
        </w:rPr>
      </w:pPr>
      <w:r>
        <w:rPr>
          <w:i/>
        </w:rPr>
        <w:t xml:space="preserve">Infecção </w:t>
      </w:r>
      <w:r w:rsidR="007C3500">
        <w:rPr>
          <w:i/>
        </w:rPr>
        <w:t>d</w:t>
      </w:r>
      <w:r>
        <w:rPr>
          <w:i/>
        </w:rPr>
        <w:t>o sítio cirúrgico (órgão/cavidade)</w:t>
      </w:r>
    </w:p>
    <w:p w14:paraId="4644CB29" w14:textId="77777777" w:rsidR="000167EC" w:rsidRPr="003D30A8" w:rsidRDefault="005D689D" w:rsidP="003D30A8">
      <w:pPr>
        <w:contextualSpacing/>
        <w:jc w:val="both"/>
        <w:rPr>
          <w:rFonts w:cs="Arial"/>
          <w:bCs/>
        </w:rPr>
      </w:pPr>
      <w:r>
        <w:t>Uma infecção no local da incisão cirúrgica, excluindo fáscia ou músculos</w:t>
      </w:r>
      <w:r w:rsidR="0096090C">
        <w:t>,</w:t>
      </w:r>
      <w:r>
        <w:t xml:space="preserve"> </w:t>
      </w:r>
      <w:r w:rsidR="002430AD">
        <w:t xml:space="preserve">que parece estar </w:t>
      </w:r>
      <w:r>
        <w:t>relacionada ao procedimento cirúrgico e envolvendo qualquer parte do corpo, excluindo incisão na pele, fáscia ou músculos que tenha sido aberto ou manipulado durante a cirurgia</w:t>
      </w:r>
      <w:r w:rsidR="00165F49">
        <w:t>,</w:t>
      </w:r>
      <w:r>
        <w:t xml:space="preserve"> e o paciente apresenta</w:t>
      </w:r>
      <w:r w:rsidR="002B7961">
        <w:t>ndo</w:t>
      </w:r>
      <w:r>
        <w:t xml:space="preserve"> pelo menos um dos seguintes critérios:</w:t>
      </w:r>
    </w:p>
    <w:p w14:paraId="5832B03F" w14:textId="18226502" w:rsidR="000167EC" w:rsidRPr="003D30A8" w:rsidRDefault="000167EC" w:rsidP="00D437A6">
      <w:pPr>
        <w:pStyle w:val="ListParagraph"/>
        <w:numPr>
          <w:ilvl w:val="0"/>
          <w:numId w:val="29"/>
        </w:numPr>
        <w:ind w:left="567" w:hanging="425"/>
        <w:jc w:val="both"/>
        <w:rPr>
          <w:rFonts w:cs="Arial"/>
          <w:bCs/>
        </w:rPr>
      </w:pPr>
      <w:r>
        <w:t>secreção purulenta através de um dreno colocado na incisão do órgão/cavidade</w:t>
      </w:r>
    </w:p>
    <w:p w14:paraId="2BA03E40" w14:textId="77777777" w:rsidR="000167EC" w:rsidRPr="003D30A8" w:rsidRDefault="000167EC" w:rsidP="00D437A6">
      <w:pPr>
        <w:pStyle w:val="ListParagraph"/>
        <w:numPr>
          <w:ilvl w:val="0"/>
          <w:numId w:val="29"/>
        </w:numPr>
        <w:ind w:left="567" w:hanging="425"/>
        <w:jc w:val="both"/>
        <w:rPr>
          <w:rFonts w:cs="Arial"/>
          <w:bCs/>
        </w:rPr>
      </w:pPr>
      <w:r>
        <w:t>organismos isolados a partir de uma cultura positiva de secreção ou tecido do órgão/cavidade, obtido assepticamente</w:t>
      </w:r>
    </w:p>
    <w:p w14:paraId="3D80DD2A" w14:textId="77777777" w:rsidR="000167EC" w:rsidRPr="003D30A8" w:rsidRDefault="000167EC" w:rsidP="00D437A6">
      <w:pPr>
        <w:pStyle w:val="ListParagraph"/>
        <w:numPr>
          <w:ilvl w:val="0"/>
          <w:numId w:val="29"/>
        </w:numPr>
        <w:ind w:left="567" w:hanging="425"/>
        <w:jc w:val="both"/>
        <w:rPr>
          <w:rFonts w:cs="Arial"/>
          <w:bCs/>
        </w:rPr>
      </w:pPr>
      <w:r>
        <w:t>presença de abscesso ou outra evidência de infecção envolvendo o órgão/cavidade, identificada em exame direto, durante nova cirurgia, ou através de exame histocitopatológico ou de imagem</w:t>
      </w:r>
    </w:p>
    <w:p w14:paraId="13B16BC7" w14:textId="77777777" w:rsidR="000167EC" w:rsidRPr="003D30A8" w:rsidRDefault="000167EC" w:rsidP="00D437A6">
      <w:pPr>
        <w:pStyle w:val="ListParagraph"/>
        <w:numPr>
          <w:ilvl w:val="0"/>
          <w:numId w:val="29"/>
        </w:numPr>
        <w:ind w:left="567" w:hanging="425"/>
        <w:jc w:val="both"/>
        <w:rPr>
          <w:rFonts w:cs="Arial"/>
          <w:bCs/>
        </w:rPr>
      </w:pPr>
      <w:r>
        <w:t>diagnóstico de infecção do sítio cirúrgico do órgão/cavidade pelo cirurgião ou médico assistente</w:t>
      </w:r>
    </w:p>
    <w:p w14:paraId="18806AC4" w14:textId="77777777" w:rsidR="000167EC" w:rsidRDefault="000167EC" w:rsidP="005D689D">
      <w:pPr>
        <w:contextualSpacing/>
        <w:jc w:val="both"/>
        <w:rPr>
          <w:rFonts w:cs="Arial"/>
          <w:bCs/>
        </w:rPr>
      </w:pPr>
    </w:p>
    <w:p w14:paraId="118CA0E5" w14:textId="77777777" w:rsidR="000167EC" w:rsidRPr="00DB08C5" w:rsidRDefault="000167EC" w:rsidP="005D689D">
      <w:pPr>
        <w:contextualSpacing/>
        <w:jc w:val="both"/>
        <w:rPr>
          <w:rFonts w:cs="Arial"/>
          <w:bCs/>
          <w:i/>
        </w:rPr>
      </w:pPr>
      <w:r>
        <w:rPr>
          <w:i/>
        </w:rPr>
        <w:t>Pneumonia</w:t>
      </w:r>
    </w:p>
    <w:p w14:paraId="5B0533CD" w14:textId="77777777" w:rsidR="000167EC" w:rsidRPr="00E92DEB" w:rsidRDefault="00763857" w:rsidP="005D689D">
      <w:pPr>
        <w:contextualSpacing/>
        <w:jc w:val="both"/>
        <w:rPr>
          <w:rFonts w:cs="Arial"/>
          <w:bCs/>
        </w:rPr>
      </w:pPr>
      <w:r>
        <w:t>Definida com duas ou mais radiografias torácicas seriadas com, no mínimo, um dos seguintes achados (uma radiografia é suficiente para os pacientes sem doença pulmonar ou cardíaca subjacente):</w:t>
      </w:r>
    </w:p>
    <w:p w14:paraId="71A12BAB" w14:textId="77777777" w:rsidR="000167EC" w:rsidRPr="00E92DEB" w:rsidRDefault="000167EC" w:rsidP="00D437A6">
      <w:pPr>
        <w:numPr>
          <w:ilvl w:val="1"/>
          <w:numId w:val="14"/>
        </w:numPr>
        <w:ind w:left="426" w:hanging="426"/>
        <w:contextualSpacing/>
        <w:jc w:val="both"/>
        <w:rPr>
          <w:rFonts w:cs="Arial"/>
          <w:bCs/>
        </w:rPr>
      </w:pPr>
      <w:r>
        <w:t>infiltrado persistente novo ou progressivo</w:t>
      </w:r>
    </w:p>
    <w:p w14:paraId="4F15240D" w14:textId="77777777" w:rsidR="000167EC" w:rsidRPr="00E92DEB" w:rsidRDefault="000167EC" w:rsidP="00D437A6">
      <w:pPr>
        <w:numPr>
          <w:ilvl w:val="1"/>
          <w:numId w:val="14"/>
        </w:numPr>
        <w:ind w:left="426" w:hanging="426"/>
        <w:contextualSpacing/>
        <w:jc w:val="both"/>
        <w:rPr>
          <w:rFonts w:cs="Arial"/>
          <w:bCs/>
        </w:rPr>
      </w:pPr>
      <w:r>
        <w:t>consolidação</w:t>
      </w:r>
    </w:p>
    <w:p w14:paraId="7914D3F8" w14:textId="77777777" w:rsidR="005D689D" w:rsidRDefault="000167EC" w:rsidP="00D437A6">
      <w:pPr>
        <w:numPr>
          <w:ilvl w:val="1"/>
          <w:numId w:val="14"/>
        </w:numPr>
        <w:ind w:left="426" w:hanging="426"/>
        <w:contextualSpacing/>
        <w:jc w:val="both"/>
        <w:rPr>
          <w:rFonts w:cs="Arial"/>
          <w:bCs/>
        </w:rPr>
      </w:pPr>
      <w:r>
        <w:t>cavitação</w:t>
      </w:r>
    </w:p>
    <w:p w14:paraId="2F14DBB6" w14:textId="77777777" w:rsidR="003D30A8" w:rsidRDefault="003D30A8" w:rsidP="003D30A8">
      <w:pPr>
        <w:contextualSpacing/>
        <w:jc w:val="both"/>
        <w:rPr>
          <w:rFonts w:cs="Arial"/>
          <w:bCs/>
        </w:rPr>
      </w:pPr>
    </w:p>
    <w:p w14:paraId="4E3DB074" w14:textId="7A89C4AE" w:rsidR="000167EC" w:rsidRPr="005D689D" w:rsidRDefault="003D30A8" w:rsidP="003D30A8">
      <w:pPr>
        <w:contextualSpacing/>
        <w:jc w:val="both"/>
        <w:rPr>
          <w:rFonts w:cs="Arial"/>
          <w:bCs/>
        </w:rPr>
      </w:pPr>
      <w:r>
        <w:t>E</w:t>
      </w:r>
      <w:r w:rsidR="00165F49">
        <w:t xml:space="preserve">, </w:t>
      </w:r>
      <w:r>
        <w:t>pelo menos um dos seguintes critérios:</w:t>
      </w:r>
    </w:p>
    <w:p w14:paraId="2FA73C17" w14:textId="77777777" w:rsidR="003D30A8" w:rsidRDefault="000167EC" w:rsidP="00D437A6">
      <w:pPr>
        <w:pStyle w:val="ListParagraph"/>
        <w:numPr>
          <w:ilvl w:val="0"/>
          <w:numId w:val="27"/>
        </w:numPr>
        <w:ind w:left="426" w:hanging="426"/>
        <w:jc w:val="both"/>
        <w:rPr>
          <w:rFonts w:cs="Arial"/>
          <w:bCs/>
        </w:rPr>
      </w:pPr>
      <w:r>
        <w:t xml:space="preserve">febre (temperatura acima de </w:t>
      </w:r>
      <w:r w:rsidR="00EC1C2A">
        <w:t>3</w:t>
      </w:r>
      <w:r>
        <w:t>8</w:t>
      </w:r>
      <w:r w:rsidR="007C3500">
        <w:t xml:space="preserve"> </w:t>
      </w:r>
      <w:r>
        <w:t>ºC), sem outra causa</w:t>
      </w:r>
      <w:r w:rsidR="00C45C14">
        <w:t xml:space="preserve"> reconhecida</w:t>
      </w:r>
    </w:p>
    <w:p w14:paraId="3DB9120D" w14:textId="77777777" w:rsidR="003D30A8" w:rsidRDefault="000167EC" w:rsidP="00D437A6">
      <w:pPr>
        <w:pStyle w:val="ListParagraph"/>
        <w:numPr>
          <w:ilvl w:val="0"/>
          <w:numId w:val="27"/>
        </w:numPr>
        <w:ind w:left="426" w:hanging="426"/>
        <w:jc w:val="both"/>
        <w:rPr>
          <w:rFonts w:cs="Arial"/>
          <w:bCs/>
        </w:rPr>
      </w:pPr>
      <w:r>
        <w:t>leucopenia (abaixo de 4.000 cel/mm</w:t>
      </w:r>
      <w:r>
        <w:rPr>
          <w:vertAlign w:val="superscript"/>
        </w:rPr>
        <w:t>3</w:t>
      </w:r>
      <w:r>
        <w:t>) ou leucocitose (acima de 12.000 cel/mm</w:t>
      </w:r>
      <w:r>
        <w:rPr>
          <w:vertAlign w:val="superscript"/>
        </w:rPr>
        <w:t>3</w:t>
      </w:r>
      <w:r>
        <w:t>)</w:t>
      </w:r>
    </w:p>
    <w:p w14:paraId="7FF65270" w14:textId="6D139E6C" w:rsidR="000167EC" w:rsidRPr="003D30A8" w:rsidRDefault="000167EC" w:rsidP="00D437A6">
      <w:pPr>
        <w:pStyle w:val="ListParagraph"/>
        <w:numPr>
          <w:ilvl w:val="0"/>
          <w:numId w:val="27"/>
        </w:numPr>
        <w:ind w:left="426" w:hanging="426"/>
        <w:jc w:val="both"/>
        <w:rPr>
          <w:rFonts w:cs="Arial"/>
          <w:bCs/>
        </w:rPr>
      </w:pPr>
      <w:r>
        <w:t>alteração do nível de consciência, sem outra causa</w:t>
      </w:r>
      <w:r w:rsidR="004900A8">
        <w:t xml:space="preserve"> reconhecida</w:t>
      </w:r>
      <w:r>
        <w:t>, em pacientes com mais de 70 anos de idade</w:t>
      </w:r>
    </w:p>
    <w:p w14:paraId="27C58B19" w14:textId="77777777" w:rsidR="000167EC" w:rsidRPr="00E92DEB" w:rsidRDefault="000167EC" w:rsidP="005D689D">
      <w:pPr>
        <w:contextualSpacing/>
        <w:jc w:val="both"/>
        <w:rPr>
          <w:rFonts w:cs="Arial"/>
          <w:bCs/>
        </w:rPr>
      </w:pPr>
    </w:p>
    <w:p w14:paraId="60761406" w14:textId="77777777" w:rsidR="000167EC" w:rsidRPr="00E92DEB" w:rsidRDefault="003D30A8" w:rsidP="005D689D">
      <w:pPr>
        <w:contextualSpacing/>
        <w:jc w:val="both"/>
        <w:rPr>
          <w:rFonts w:cs="Arial"/>
          <w:bCs/>
        </w:rPr>
      </w:pPr>
      <w:r>
        <w:t>E</w:t>
      </w:r>
      <w:r w:rsidR="002C7ECD">
        <w:t>,</w:t>
      </w:r>
      <w:r>
        <w:t xml:space="preserve"> pelo menos dois dos seguintes critérios:</w:t>
      </w:r>
    </w:p>
    <w:p w14:paraId="2CEB1122" w14:textId="20C985F8" w:rsidR="003D30A8" w:rsidRDefault="000167EC" w:rsidP="00D437A6">
      <w:pPr>
        <w:pStyle w:val="ListParagraph"/>
        <w:numPr>
          <w:ilvl w:val="0"/>
          <w:numId w:val="28"/>
        </w:numPr>
        <w:ind w:left="426" w:hanging="426"/>
        <w:jc w:val="both"/>
        <w:rPr>
          <w:rFonts w:cs="Arial"/>
          <w:bCs/>
        </w:rPr>
      </w:pPr>
      <w:r>
        <w:t>novo surgimento de secreção purulenta</w:t>
      </w:r>
      <w:r w:rsidR="002C7ECD">
        <w:t>,</w:t>
      </w:r>
      <w:r>
        <w:t xml:space="preserve"> mudança das características da secreção</w:t>
      </w:r>
      <w:r w:rsidR="002C7ECD">
        <w:t>,</w:t>
      </w:r>
      <w:r>
        <w:t xml:space="preserve"> aumento da secreção respiratória ou aumento da necessidade de aspiração</w:t>
      </w:r>
    </w:p>
    <w:p w14:paraId="50FD0EDB" w14:textId="77777777" w:rsidR="003D30A8" w:rsidRDefault="000167EC" w:rsidP="00D437A6">
      <w:pPr>
        <w:pStyle w:val="ListParagraph"/>
        <w:numPr>
          <w:ilvl w:val="0"/>
          <w:numId w:val="28"/>
        </w:numPr>
        <w:ind w:left="426" w:hanging="426"/>
        <w:jc w:val="both"/>
        <w:rPr>
          <w:rFonts w:cs="Arial"/>
          <w:bCs/>
        </w:rPr>
      </w:pPr>
      <w:r>
        <w:t>novo surgimento ou piora da tosse, dispnéia ou taquipnéia</w:t>
      </w:r>
    </w:p>
    <w:p w14:paraId="172FC8AB" w14:textId="77777777" w:rsidR="003D30A8" w:rsidRDefault="000167EC" w:rsidP="00D437A6">
      <w:pPr>
        <w:pStyle w:val="ListParagraph"/>
        <w:numPr>
          <w:ilvl w:val="0"/>
          <w:numId w:val="28"/>
        </w:numPr>
        <w:ind w:left="426" w:hanging="426"/>
        <w:jc w:val="both"/>
        <w:rPr>
          <w:rFonts w:cs="Arial"/>
          <w:bCs/>
        </w:rPr>
      </w:pPr>
      <w:r>
        <w:t>ausculta com roncos ou estertores</w:t>
      </w:r>
    </w:p>
    <w:p w14:paraId="1F320B2F" w14:textId="77777777" w:rsidR="000167EC" w:rsidRPr="003D30A8" w:rsidRDefault="000167EC" w:rsidP="00D437A6">
      <w:pPr>
        <w:pStyle w:val="ListParagraph"/>
        <w:numPr>
          <w:ilvl w:val="0"/>
          <w:numId w:val="28"/>
        </w:numPr>
        <w:ind w:left="426" w:hanging="426"/>
        <w:jc w:val="both"/>
        <w:rPr>
          <w:rFonts w:cs="Arial"/>
          <w:bCs/>
        </w:rPr>
      </w:pPr>
      <w:r>
        <w:t>piora da troca gasosa (hipoxia, aumento da necessidade de oxigênio ou aumento dos parâmetros ventilatórios)</w:t>
      </w:r>
    </w:p>
    <w:p w14:paraId="5DE3D35A" w14:textId="77777777" w:rsidR="000167EC" w:rsidRPr="00E92DEB" w:rsidRDefault="000167EC" w:rsidP="005D689D">
      <w:pPr>
        <w:contextualSpacing/>
        <w:jc w:val="both"/>
        <w:rPr>
          <w:rFonts w:cs="Arial"/>
          <w:bCs/>
        </w:rPr>
      </w:pPr>
    </w:p>
    <w:p w14:paraId="08301644" w14:textId="77777777" w:rsidR="00AA2297" w:rsidRPr="00DB08C5" w:rsidRDefault="00AA2297" w:rsidP="00E069DC">
      <w:pPr>
        <w:keepNext/>
        <w:contextualSpacing/>
        <w:jc w:val="both"/>
        <w:rPr>
          <w:rFonts w:cs="Arial"/>
          <w:bCs/>
          <w:i/>
        </w:rPr>
      </w:pPr>
      <w:r>
        <w:rPr>
          <w:i/>
        </w:rPr>
        <w:t>Infecção das vias urinárias</w:t>
      </w:r>
    </w:p>
    <w:p w14:paraId="37D2D7C4" w14:textId="6CFD59B3" w:rsidR="00DB08C5" w:rsidRDefault="00AA2297" w:rsidP="005D689D">
      <w:pPr>
        <w:contextualSpacing/>
        <w:jc w:val="both"/>
        <w:rPr>
          <w:rFonts w:cs="Arial"/>
          <w:bCs/>
        </w:rPr>
      </w:pPr>
      <w:r>
        <w:t>Uma cultura de urina positiva com ≥10</w:t>
      </w:r>
      <w:r>
        <w:rPr>
          <w:vertAlign w:val="superscript"/>
        </w:rPr>
        <w:t>5</w:t>
      </w:r>
      <w:r>
        <w:t xml:space="preserve"> unidades formadoras de colônias por ml de urina</w:t>
      </w:r>
      <w:r w:rsidR="00D06FBD">
        <w:t>,</w:t>
      </w:r>
      <w:r>
        <w:t xml:space="preserve"> com</w:t>
      </w:r>
      <w:r w:rsidR="00D06FBD">
        <w:t xml:space="preserve"> não mais que duas espécies de micro-organismos e com</w:t>
      </w:r>
      <w:r>
        <w:t>, pelo menos, um dos seguintes sintomas ou sinais: febre (</w:t>
      </w:r>
      <w:r w:rsidR="00F953D3">
        <w:t xml:space="preserve">acima de </w:t>
      </w:r>
      <w:r>
        <w:t>38</w:t>
      </w:r>
      <w:r w:rsidR="00E069DC">
        <w:t xml:space="preserve"> </w:t>
      </w:r>
      <w:r>
        <w:t xml:space="preserve">ºC), urgência, frequência, disúria, sensibilidade suprapúbica, dor ou sensibilidade </w:t>
      </w:r>
      <w:r w:rsidR="00010CC3" w:rsidRPr="00010CC3">
        <w:t xml:space="preserve">no ângulo costovertebral </w:t>
      </w:r>
      <w:r>
        <w:t>sem outras causas reconhecidas</w:t>
      </w:r>
      <w:r w:rsidR="000575E6">
        <w:t>,</w:t>
      </w:r>
      <w:r>
        <w:t xml:space="preserve"> identificad</w:t>
      </w:r>
      <w:r w:rsidR="00BF207F">
        <w:t>a</w:t>
      </w:r>
      <w:r>
        <w:t xml:space="preserve">s em um período de 24 horas. </w:t>
      </w:r>
    </w:p>
    <w:p w14:paraId="2EAC425C" w14:textId="77777777" w:rsidR="00DB08C5" w:rsidRDefault="00DB08C5" w:rsidP="005D689D">
      <w:pPr>
        <w:contextualSpacing/>
        <w:jc w:val="both"/>
        <w:rPr>
          <w:rFonts w:cs="Arial"/>
          <w:bCs/>
        </w:rPr>
      </w:pPr>
    </w:p>
    <w:p w14:paraId="217A9A31" w14:textId="77777777" w:rsidR="00B40711" w:rsidRPr="00B40711" w:rsidRDefault="00DB08C5" w:rsidP="005D689D">
      <w:pPr>
        <w:contextualSpacing/>
        <w:jc w:val="both"/>
        <w:rPr>
          <w:rFonts w:cs="Arial"/>
          <w:bCs/>
        </w:rPr>
      </w:pPr>
      <w:r>
        <w:t xml:space="preserve">Alternativamente, o paciente tem </w:t>
      </w:r>
      <w:r w:rsidR="000B229B">
        <w:t xml:space="preserve">um </w:t>
      </w:r>
      <w:r>
        <w:t xml:space="preserve">abscesso ou outra evidência de infecção vista em exame direto durante </w:t>
      </w:r>
      <w:r w:rsidR="000B229B">
        <w:t xml:space="preserve">a </w:t>
      </w:r>
      <w:r>
        <w:t>cirurgia ou em exame histopatológico com um dos seguintes critérios:</w:t>
      </w:r>
    </w:p>
    <w:p w14:paraId="777A0A50" w14:textId="77777777" w:rsidR="00B40711" w:rsidRPr="00B40711" w:rsidRDefault="00B40711" w:rsidP="00D437A6">
      <w:pPr>
        <w:numPr>
          <w:ilvl w:val="0"/>
          <w:numId w:val="8"/>
        </w:numPr>
        <w:contextualSpacing/>
        <w:jc w:val="both"/>
        <w:rPr>
          <w:rFonts w:cs="Arial"/>
          <w:bCs/>
        </w:rPr>
      </w:pPr>
      <w:r>
        <w:t>drenagem purulenta do sítio acometido;</w:t>
      </w:r>
    </w:p>
    <w:p w14:paraId="1FEA87F7" w14:textId="77777777" w:rsidR="00B40711" w:rsidRPr="00B40711" w:rsidRDefault="00B40711" w:rsidP="00D437A6">
      <w:pPr>
        <w:numPr>
          <w:ilvl w:val="0"/>
          <w:numId w:val="8"/>
        </w:numPr>
        <w:contextualSpacing/>
        <w:jc w:val="both"/>
        <w:rPr>
          <w:rFonts w:cs="Arial"/>
          <w:bCs/>
        </w:rPr>
      </w:pPr>
      <w:r>
        <w:t>evidência radiográfica de infecção;</w:t>
      </w:r>
    </w:p>
    <w:p w14:paraId="036ECD99" w14:textId="77777777" w:rsidR="00B40711" w:rsidRPr="00B40711" w:rsidRDefault="00B40711" w:rsidP="00D437A6">
      <w:pPr>
        <w:numPr>
          <w:ilvl w:val="0"/>
          <w:numId w:val="8"/>
        </w:numPr>
        <w:contextualSpacing/>
        <w:jc w:val="both"/>
        <w:rPr>
          <w:rFonts w:cs="Arial"/>
          <w:bCs/>
        </w:rPr>
      </w:pPr>
      <w:r>
        <w:t>diagnóstico médico de infecção do rim, ureter, bexi</w:t>
      </w:r>
      <w:r w:rsidR="0096090C">
        <w:t xml:space="preserve">ga, uretra ou tecidos em torno do espaço retroperitoneal </w:t>
      </w:r>
      <w:r>
        <w:t>ou perinefrético;</w:t>
      </w:r>
    </w:p>
    <w:p w14:paraId="4CD22945" w14:textId="77777777" w:rsidR="00B40711" w:rsidRPr="00B40711" w:rsidRDefault="00B40711" w:rsidP="00D437A6">
      <w:pPr>
        <w:numPr>
          <w:ilvl w:val="0"/>
          <w:numId w:val="8"/>
        </w:numPr>
        <w:contextualSpacing/>
        <w:jc w:val="both"/>
        <w:rPr>
          <w:rFonts w:cs="Arial"/>
          <w:bCs/>
        </w:rPr>
      </w:pPr>
      <w:r>
        <w:t>terapia apropriada para infecção do rim, ureter, bexiga, uretra ou tecidos e</w:t>
      </w:r>
      <w:r w:rsidR="0096090C">
        <w:t xml:space="preserve">m torno do espaço </w:t>
      </w:r>
      <w:r>
        <w:t>retroperitoneal ou perinefrético instituída pelo médico.</w:t>
      </w:r>
    </w:p>
    <w:p w14:paraId="358608DE" w14:textId="77777777" w:rsidR="00B40711" w:rsidRDefault="00B40711" w:rsidP="005D689D">
      <w:pPr>
        <w:contextualSpacing/>
        <w:jc w:val="both"/>
        <w:rPr>
          <w:rFonts w:cs="Arial"/>
          <w:bCs/>
          <w:i/>
          <w:u w:val="single"/>
        </w:rPr>
      </w:pPr>
    </w:p>
    <w:p w14:paraId="720F0D74" w14:textId="77777777" w:rsidR="00AA2297" w:rsidRPr="00DB08C5" w:rsidRDefault="003D30A8" w:rsidP="005D689D">
      <w:pPr>
        <w:contextualSpacing/>
        <w:jc w:val="both"/>
        <w:rPr>
          <w:rFonts w:cs="Arial"/>
          <w:bCs/>
          <w:i/>
        </w:rPr>
      </w:pPr>
      <w:r>
        <w:rPr>
          <w:i/>
        </w:rPr>
        <w:t>Infecção da corrente sanguínea confirmada por análise laboratorial</w:t>
      </w:r>
    </w:p>
    <w:p w14:paraId="46840F0E" w14:textId="263B88E6" w:rsidR="00AA2297" w:rsidRPr="00E92DEB" w:rsidRDefault="005D689D" w:rsidP="005D689D">
      <w:pPr>
        <w:contextualSpacing/>
        <w:jc w:val="both"/>
        <w:rPr>
          <w:rFonts w:cs="Arial"/>
          <w:bCs/>
        </w:rPr>
      </w:pPr>
      <w:r>
        <w:t>Uma infecção que atende a, pelo menos, um dos critérios a seguir, mas que não está relacionada com uma infecção em outro local:</w:t>
      </w:r>
      <w:r w:rsidR="00966C85">
        <w:rPr>
          <w:rFonts w:cs="Arial"/>
          <w:bCs/>
        </w:rPr>
        <w:fldChar w:fldCharType="begin"/>
      </w:r>
      <w:r w:rsidR="004F52DD">
        <w:rPr>
          <w:rFonts w:cs="Arial"/>
          <w:bCs/>
        </w:rPr>
        <w:instrText xml:space="preserve"> ADDIN ZOTERO_ITEM CSL_CITATION {"citationID":"8amuk5kct","properties":{"formattedCitation":"(18)","plainCitation":"(18)"},"citationItems":[{"id":7251,"uris":["http://zotero.org/users/71207/items/WNJV7EA5"],"uri":["http://zotero.org/users/71207/items/WNJV7EA5"],"itemData":{"id":7251,"type":"article-journal","title":"CDC/NHSN surveillance definition of health care-associated infection and criteria for specific types of infections in the acute care setting","container-title":"American Journal of Infection Control","page":"309-332","volume":"36","issue":"5","source":"PubMed","DOI":"10.1016/j.ajic.2008.03.002","ISSN":"1527-3296","note":"PMID: 18538699","journalAbbreviation":"Am J Infect Control","language":"eng","author":[{"family":"Horan","given":"Teresa C."},{"family":"Andrus","given":"Mary"},{"family":"Dudeck","given":"Margaret A."}],"issued":{"date-parts":[["2008",6]]},"PMID":"18538699"}}],"schema":"https://github.com/citation-style-language/schema/raw/master/csl-citation.json"} </w:instrText>
      </w:r>
      <w:r w:rsidR="00966C85">
        <w:rPr>
          <w:rFonts w:cs="Arial"/>
          <w:bCs/>
        </w:rPr>
        <w:fldChar w:fldCharType="end"/>
      </w:r>
    </w:p>
    <w:p w14:paraId="534265ED" w14:textId="77777777" w:rsidR="00AA2297" w:rsidRPr="00E92DEB" w:rsidRDefault="00AA2297" w:rsidP="00D437A6">
      <w:pPr>
        <w:numPr>
          <w:ilvl w:val="0"/>
          <w:numId w:val="13"/>
        </w:numPr>
        <w:ind w:left="426" w:hanging="426"/>
        <w:contextualSpacing/>
        <w:jc w:val="both"/>
        <w:rPr>
          <w:rFonts w:cs="Arial"/>
          <w:bCs/>
        </w:rPr>
      </w:pPr>
      <w:r>
        <w:t>O paciente tem um patógeno reconhecido</w:t>
      </w:r>
      <w:r w:rsidR="003D31F0">
        <w:t>,</w:t>
      </w:r>
      <w:r>
        <w:t xml:space="preserve"> </w:t>
      </w:r>
      <w:r w:rsidR="00315473">
        <w:t>cultivado</w:t>
      </w:r>
      <w:r>
        <w:t xml:space="preserve"> em uma ou mais hemoculturas</w:t>
      </w:r>
      <w:r w:rsidR="003C36F7">
        <w:t>,</w:t>
      </w:r>
      <w:r>
        <w:t xml:space="preserve"> e o patógeno não está relacionado com </w:t>
      </w:r>
      <w:r w:rsidR="003C36F7">
        <w:t xml:space="preserve">uma </w:t>
      </w:r>
      <w:r>
        <w:t>infecção em outro local</w:t>
      </w:r>
    </w:p>
    <w:p w14:paraId="354D06C5" w14:textId="6EF44654" w:rsidR="00AA2297" w:rsidRPr="00E92DEB" w:rsidRDefault="00AA2297" w:rsidP="00D437A6">
      <w:pPr>
        <w:numPr>
          <w:ilvl w:val="0"/>
          <w:numId w:val="13"/>
        </w:numPr>
        <w:ind w:left="426" w:hanging="426"/>
        <w:contextualSpacing/>
        <w:jc w:val="both"/>
        <w:rPr>
          <w:rFonts w:cs="Arial"/>
          <w:bCs/>
        </w:rPr>
      </w:pPr>
      <w:r>
        <w:t>O paciente apresenta pelo menos um dos seguintes sinais ou sintomas: febre (</w:t>
      </w:r>
      <w:r w:rsidR="00F953D3">
        <w:t xml:space="preserve">acima de </w:t>
      </w:r>
      <w:r>
        <w:t>38</w:t>
      </w:r>
      <w:r w:rsidR="007C3500">
        <w:t xml:space="preserve"> </w:t>
      </w:r>
      <w:r>
        <w:t>°C), tremores</w:t>
      </w:r>
      <w:r w:rsidR="003D31F0">
        <w:t xml:space="preserve"> ou</w:t>
      </w:r>
      <w:r>
        <w:t xml:space="preserve"> hipotensão e, pelo menos, um dos seguintes:</w:t>
      </w:r>
    </w:p>
    <w:p w14:paraId="67098CF4" w14:textId="77777777" w:rsidR="00AA2297" w:rsidRPr="00E92DEB" w:rsidRDefault="00AA2297" w:rsidP="005D689D">
      <w:pPr>
        <w:ind w:left="709" w:hanging="283"/>
        <w:contextualSpacing/>
        <w:jc w:val="both"/>
        <w:rPr>
          <w:rFonts w:cs="Arial"/>
          <w:bCs/>
        </w:rPr>
      </w:pPr>
      <w:r>
        <w:t>a) contaminante comum de pele cultivado em duas ou mais hemoculturas coletadas em diferentes punções em ocasiões separadas</w:t>
      </w:r>
    </w:p>
    <w:p w14:paraId="7471613A" w14:textId="77777777" w:rsidR="00AA2297" w:rsidRPr="00E92DEB" w:rsidRDefault="00AA2297" w:rsidP="005D689D">
      <w:pPr>
        <w:ind w:left="709" w:hanging="283"/>
        <w:contextualSpacing/>
        <w:jc w:val="both"/>
        <w:rPr>
          <w:rFonts w:cs="Arial"/>
          <w:bCs/>
        </w:rPr>
      </w:pPr>
      <w:r>
        <w:t>b) contaminante comum de pele cultivado em, pelo menos uma hemocultura coletada através de dispositivos intravenosos</w:t>
      </w:r>
      <w:r w:rsidR="00622486">
        <w:t>,</w:t>
      </w:r>
      <w:r>
        <w:t xml:space="preserve"> e o médico institui terapia antimicrobiana</w:t>
      </w:r>
    </w:p>
    <w:p w14:paraId="3CABE030" w14:textId="2C3B06AB" w:rsidR="00AA2297" w:rsidRPr="00E92DEB" w:rsidRDefault="00AA2297" w:rsidP="005D689D">
      <w:pPr>
        <w:ind w:left="709" w:hanging="283"/>
        <w:contextualSpacing/>
        <w:jc w:val="both"/>
        <w:rPr>
          <w:rFonts w:cs="Arial"/>
          <w:bCs/>
        </w:rPr>
      </w:pPr>
      <w:r>
        <w:t>c) teste de antígenos positivo no sangue</w:t>
      </w:r>
    </w:p>
    <w:p w14:paraId="28C45D7E" w14:textId="77777777" w:rsidR="00E92DEB" w:rsidRDefault="00E92DEB" w:rsidP="005D689D">
      <w:pPr>
        <w:contextualSpacing/>
        <w:jc w:val="both"/>
        <w:rPr>
          <w:rFonts w:cs="Arial"/>
          <w:b/>
          <w:bCs/>
          <w:i/>
        </w:rPr>
      </w:pPr>
    </w:p>
    <w:p w14:paraId="10436C44" w14:textId="77777777" w:rsidR="000167EC" w:rsidRPr="00DB08C5" w:rsidRDefault="000167EC" w:rsidP="005D689D">
      <w:pPr>
        <w:contextualSpacing/>
        <w:jc w:val="both"/>
        <w:rPr>
          <w:rFonts w:cs="Arial"/>
          <w:bCs/>
          <w:i/>
        </w:rPr>
      </w:pPr>
      <w:r>
        <w:rPr>
          <w:i/>
        </w:rPr>
        <w:t>Infecção, origem incerta</w:t>
      </w:r>
    </w:p>
    <w:p w14:paraId="059D16BE" w14:textId="6F7B953A" w:rsidR="000167EC" w:rsidRPr="00E92DEB" w:rsidRDefault="00AB24D4" w:rsidP="005D689D">
      <w:pPr>
        <w:jc w:val="both"/>
        <w:rPr>
          <w:rFonts w:cs="Arial"/>
          <w:bCs/>
        </w:rPr>
      </w:pPr>
      <w:r>
        <w:t>Uma infecção cuja diferenciação não é possível porque as informações clínicas sugerem mais de um local possível, mas que se considera provável que seja uma das seguintes: infecção superficial no sítio cirúrgico, infecção profunda no sítio cirúrgico, infecção de órgão/cavidade no sítio cirúrgico, pneumonia, infecção das vias urinárias ou infecção da corrente sanguínea confirmada por análise laboratorial. Deve haver uma forte suspeita clínica de infecção que se enquadre em dois ou mais dos seguintes critérios</w:t>
      </w:r>
      <w:r w:rsidR="008A3AB6">
        <w:t>:</w:t>
      </w:r>
    </w:p>
    <w:p w14:paraId="767E26AD" w14:textId="16B2A25C" w:rsidR="000167EC" w:rsidRPr="005D689D" w:rsidRDefault="000167EC" w:rsidP="00D437A6">
      <w:pPr>
        <w:pStyle w:val="ListParagraph"/>
        <w:numPr>
          <w:ilvl w:val="3"/>
          <w:numId w:val="25"/>
        </w:numPr>
        <w:ind w:left="426" w:hanging="426"/>
        <w:jc w:val="both"/>
        <w:rPr>
          <w:rFonts w:cs="Arial"/>
          <w:bCs/>
        </w:rPr>
      </w:pPr>
      <w:r>
        <w:t xml:space="preserve">Temperatura corporal </w:t>
      </w:r>
      <w:r w:rsidR="00F953D3">
        <w:t xml:space="preserve">abaixo de </w:t>
      </w:r>
      <w:r>
        <w:t>36</w:t>
      </w:r>
      <w:r w:rsidR="007C3500">
        <w:t xml:space="preserve"> </w:t>
      </w:r>
      <w:r>
        <w:t xml:space="preserve">°C ou </w:t>
      </w:r>
      <w:r w:rsidR="00F953D3">
        <w:t xml:space="preserve">acima de </w:t>
      </w:r>
      <w:r>
        <w:t>38</w:t>
      </w:r>
      <w:r w:rsidR="007C3500">
        <w:t xml:space="preserve"> </w:t>
      </w:r>
      <w:r>
        <w:t>°C</w:t>
      </w:r>
    </w:p>
    <w:p w14:paraId="609EA8C4" w14:textId="77777777" w:rsidR="000167EC" w:rsidRPr="005D689D" w:rsidRDefault="000167EC" w:rsidP="00D437A6">
      <w:pPr>
        <w:pStyle w:val="ListParagraph"/>
        <w:numPr>
          <w:ilvl w:val="3"/>
          <w:numId w:val="25"/>
        </w:numPr>
        <w:ind w:left="426" w:hanging="426"/>
        <w:jc w:val="both"/>
        <w:rPr>
          <w:rFonts w:cs="Arial"/>
          <w:bCs/>
        </w:rPr>
      </w:pPr>
      <w:r>
        <w:t>Contagem de glóbulos brancos &gt;12 x 10</w:t>
      </w:r>
      <w:r>
        <w:rPr>
          <w:vertAlign w:val="superscript"/>
        </w:rPr>
        <w:t>9</w:t>
      </w:r>
      <w:r>
        <w:t>/</w:t>
      </w:r>
      <w:r w:rsidR="001B2FAA">
        <w:t>l</w:t>
      </w:r>
      <w:r>
        <w:t xml:space="preserve"> ou &lt;4 x 10</w:t>
      </w:r>
      <w:r>
        <w:rPr>
          <w:vertAlign w:val="superscript"/>
        </w:rPr>
        <w:t>9</w:t>
      </w:r>
      <w:r>
        <w:t>/</w:t>
      </w:r>
      <w:r w:rsidR="001B2FAA">
        <w:t>l</w:t>
      </w:r>
    </w:p>
    <w:p w14:paraId="41BD5306" w14:textId="77777777" w:rsidR="000167EC" w:rsidRPr="005D689D" w:rsidRDefault="000167EC" w:rsidP="00D437A6">
      <w:pPr>
        <w:pStyle w:val="ListParagraph"/>
        <w:numPr>
          <w:ilvl w:val="3"/>
          <w:numId w:val="25"/>
        </w:numPr>
        <w:ind w:left="426" w:hanging="426"/>
        <w:jc w:val="both"/>
        <w:rPr>
          <w:rFonts w:cs="Arial"/>
          <w:bCs/>
        </w:rPr>
      </w:pPr>
      <w:r>
        <w:t>Frequência respiratória &gt;20 respirações/min ou PaCO</w:t>
      </w:r>
      <w:r>
        <w:rPr>
          <w:vertAlign w:val="subscript"/>
        </w:rPr>
        <w:t>2</w:t>
      </w:r>
      <w:r>
        <w:t xml:space="preserve"> &lt;35 mmHg</w:t>
      </w:r>
    </w:p>
    <w:p w14:paraId="1726F5A2" w14:textId="77777777" w:rsidR="000167EC" w:rsidRPr="005D689D" w:rsidRDefault="000167EC" w:rsidP="00D437A6">
      <w:pPr>
        <w:pStyle w:val="ListParagraph"/>
        <w:numPr>
          <w:ilvl w:val="3"/>
          <w:numId w:val="25"/>
        </w:numPr>
        <w:ind w:left="426" w:hanging="426"/>
        <w:jc w:val="both"/>
        <w:rPr>
          <w:rFonts w:cs="Arial"/>
          <w:bCs/>
        </w:rPr>
      </w:pPr>
      <w:r>
        <w:t>Frequência cardíaca &gt;90 batimentos por minuto</w:t>
      </w:r>
    </w:p>
    <w:p w14:paraId="4CAA0345" w14:textId="77777777" w:rsidR="00B40711" w:rsidRDefault="00B40711" w:rsidP="005D689D">
      <w:pPr>
        <w:spacing w:line="240" w:lineRule="auto"/>
        <w:jc w:val="both"/>
        <w:rPr>
          <w:b/>
          <w:kern w:val="32"/>
          <w:szCs w:val="22"/>
        </w:rPr>
      </w:pPr>
    </w:p>
    <w:p w14:paraId="314C497B" w14:textId="77777777" w:rsidR="00AA2297" w:rsidRPr="00CF03AA" w:rsidRDefault="00AA2297" w:rsidP="007D7A61">
      <w:pPr>
        <w:contextualSpacing/>
        <w:jc w:val="both"/>
        <w:rPr>
          <w:b/>
          <w:kern w:val="32"/>
          <w:szCs w:val="22"/>
        </w:rPr>
      </w:pPr>
      <w:r>
        <w:rPr>
          <w:b/>
          <w:kern w:val="32"/>
        </w:rPr>
        <w:t>2. Eventos cardíacos agudos</w:t>
      </w:r>
    </w:p>
    <w:p w14:paraId="56ABBE3C" w14:textId="77777777" w:rsidR="007A6AB9" w:rsidRDefault="007A6AB9" w:rsidP="007D7A61">
      <w:pPr>
        <w:contextualSpacing/>
        <w:jc w:val="both"/>
        <w:rPr>
          <w:rFonts w:cs="Arial"/>
          <w:szCs w:val="22"/>
        </w:rPr>
      </w:pPr>
      <w:r>
        <w:t>Os eventos cardíacos agudos incluem os seguintes eventos definidos a seguir:</w:t>
      </w:r>
    </w:p>
    <w:p w14:paraId="15ADF9BD" w14:textId="77777777" w:rsidR="007D7A61" w:rsidRDefault="007D7A61" w:rsidP="00D437A6">
      <w:pPr>
        <w:pStyle w:val="ListParagraph"/>
        <w:numPr>
          <w:ilvl w:val="0"/>
          <w:numId w:val="24"/>
        </w:numPr>
        <w:jc w:val="both"/>
        <w:rPr>
          <w:rFonts w:cs="Arial"/>
          <w:szCs w:val="22"/>
        </w:rPr>
      </w:pPr>
      <w:r>
        <w:t>Arritmia</w:t>
      </w:r>
    </w:p>
    <w:p w14:paraId="4E527764" w14:textId="77777777" w:rsidR="007A6AB9" w:rsidRDefault="007A6AB9" w:rsidP="00D437A6">
      <w:pPr>
        <w:pStyle w:val="ListParagraph"/>
        <w:numPr>
          <w:ilvl w:val="0"/>
          <w:numId w:val="24"/>
        </w:numPr>
        <w:jc w:val="both"/>
        <w:rPr>
          <w:rFonts w:cs="Arial"/>
          <w:szCs w:val="22"/>
        </w:rPr>
      </w:pPr>
      <w:r>
        <w:t>Infarto do miocárdio</w:t>
      </w:r>
    </w:p>
    <w:p w14:paraId="4CBB05DA" w14:textId="77777777" w:rsidR="007A6AB9" w:rsidRDefault="007A6AB9" w:rsidP="00D437A6">
      <w:pPr>
        <w:pStyle w:val="ListParagraph"/>
        <w:numPr>
          <w:ilvl w:val="0"/>
          <w:numId w:val="24"/>
        </w:numPr>
        <w:jc w:val="both"/>
        <w:rPr>
          <w:rFonts w:cs="Arial"/>
          <w:szCs w:val="22"/>
        </w:rPr>
      </w:pPr>
      <w:r>
        <w:t>Lesão miocárdica após cirurgia não cardíaca (MINS)</w:t>
      </w:r>
    </w:p>
    <w:p w14:paraId="3DDC63D2" w14:textId="77777777" w:rsidR="00366FAA" w:rsidRDefault="00366FAA" w:rsidP="00D437A6">
      <w:pPr>
        <w:pStyle w:val="ListParagraph"/>
        <w:numPr>
          <w:ilvl w:val="0"/>
          <w:numId w:val="24"/>
        </w:numPr>
        <w:jc w:val="both"/>
        <w:rPr>
          <w:rFonts w:cs="Arial"/>
          <w:szCs w:val="22"/>
        </w:rPr>
      </w:pPr>
      <w:r>
        <w:t>Parada cardíaca sem ressuscitação bem</w:t>
      </w:r>
      <w:r w:rsidR="00A17D5C">
        <w:t>-</w:t>
      </w:r>
      <w:r>
        <w:t>sucedida</w:t>
      </w:r>
    </w:p>
    <w:p w14:paraId="4AEE5125" w14:textId="77777777" w:rsidR="00366FAA" w:rsidRPr="00CF03AA" w:rsidRDefault="00366FAA" w:rsidP="00D437A6">
      <w:pPr>
        <w:pStyle w:val="ListParagraph"/>
        <w:numPr>
          <w:ilvl w:val="0"/>
          <w:numId w:val="24"/>
        </w:numPr>
        <w:jc w:val="both"/>
        <w:rPr>
          <w:rFonts w:cs="Arial"/>
          <w:szCs w:val="22"/>
        </w:rPr>
      </w:pPr>
      <w:r>
        <w:t>Edema pulmonar cardiogênico</w:t>
      </w:r>
    </w:p>
    <w:p w14:paraId="33ABDAD3" w14:textId="77777777" w:rsidR="007D7A61" w:rsidRPr="007D7A61" w:rsidRDefault="007D7A61" w:rsidP="007D7A61">
      <w:pPr>
        <w:ind w:left="360"/>
        <w:jc w:val="both"/>
        <w:rPr>
          <w:rFonts w:cs="Arial"/>
          <w:b/>
          <w:bCs/>
          <w:i/>
        </w:rPr>
      </w:pPr>
    </w:p>
    <w:p w14:paraId="62F69715" w14:textId="77777777" w:rsidR="007D7A61" w:rsidRPr="007D7A61" w:rsidRDefault="007D7A61" w:rsidP="007D7A61">
      <w:pPr>
        <w:jc w:val="both"/>
        <w:rPr>
          <w:rFonts w:cs="Arial"/>
          <w:bCs/>
        </w:rPr>
      </w:pPr>
      <w:r>
        <w:rPr>
          <w:i/>
        </w:rPr>
        <w:t>Arritmia</w:t>
      </w:r>
    </w:p>
    <w:p w14:paraId="290EF6F1" w14:textId="5E0B60C9" w:rsidR="007D7A61" w:rsidRPr="007D7A61" w:rsidRDefault="007D7A61" w:rsidP="007D7A61">
      <w:pPr>
        <w:jc w:val="both"/>
        <w:rPr>
          <w:rFonts w:cs="Arial"/>
          <w:bCs/>
        </w:rPr>
      </w:pPr>
      <w:r>
        <w:t>Arritmia é definida como sendo a evidência de uma perturbação no ritmo cardíaco por eletrocardiograma (ECG)</w:t>
      </w:r>
      <w:r w:rsidR="0022311E">
        <w:t>.</w:t>
      </w:r>
    </w:p>
    <w:p w14:paraId="3E244E1F" w14:textId="77777777" w:rsidR="00B40711" w:rsidRPr="007D7A61" w:rsidRDefault="00B40711" w:rsidP="007D7A61">
      <w:pPr>
        <w:contextualSpacing/>
        <w:jc w:val="both"/>
        <w:rPr>
          <w:rFonts w:cs="Arial"/>
          <w:szCs w:val="22"/>
        </w:rPr>
      </w:pPr>
    </w:p>
    <w:p w14:paraId="11D5DB8C" w14:textId="77777777" w:rsidR="00AA2297" w:rsidRPr="007D7A61" w:rsidRDefault="00AA2297" w:rsidP="007D7A61">
      <w:pPr>
        <w:contextualSpacing/>
        <w:jc w:val="both"/>
        <w:rPr>
          <w:rFonts w:cs="Arial"/>
          <w:bCs/>
          <w:i/>
        </w:rPr>
      </w:pPr>
      <w:r>
        <w:rPr>
          <w:i/>
        </w:rPr>
        <w:t>Infarto do miocárdio</w:t>
      </w:r>
    </w:p>
    <w:p w14:paraId="54544CFF" w14:textId="758CF627" w:rsidR="00AA2297" w:rsidRPr="00E92DEB" w:rsidRDefault="00AA2297" w:rsidP="007D7A61">
      <w:pPr>
        <w:contextualSpacing/>
        <w:jc w:val="both"/>
        <w:rPr>
          <w:rFonts w:cs="Arial"/>
          <w:bCs/>
        </w:rPr>
      </w:pPr>
      <w:r>
        <w:t>Aumento dos valores séricos dos biomarcadores cardíacos (preferivelmente troponinas cardíacas) com pelo menos um valor acima do percentil 99 e, pelo menos, um dos seguintes critérios:</w:t>
      </w:r>
    </w:p>
    <w:p w14:paraId="411AA2E3" w14:textId="77777777" w:rsidR="00AA2297" w:rsidRPr="007D7A61" w:rsidRDefault="00AA2297" w:rsidP="00D437A6">
      <w:pPr>
        <w:pStyle w:val="ListParagraph"/>
        <w:numPr>
          <w:ilvl w:val="0"/>
          <w:numId w:val="31"/>
        </w:numPr>
        <w:ind w:left="709" w:hanging="425"/>
        <w:jc w:val="both"/>
        <w:rPr>
          <w:rFonts w:cs="Arial"/>
          <w:bCs/>
        </w:rPr>
      </w:pPr>
      <w:r>
        <w:t>Sintomas de isquemia</w:t>
      </w:r>
    </w:p>
    <w:p w14:paraId="35E7A68C" w14:textId="3BCC2F07" w:rsidR="00AA2297" w:rsidRPr="007D7A61" w:rsidRDefault="00AA2297" w:rsidP="00D437A6">
      <w:pPr>
        <w:pStyle w:val="ListParagraph"/>
        <w:numPr>
          <w:ilvl w:val="0"/>
          <w:numId w:val="31"/>
        </w:numPr>
        <w:ind w:left="709" w:hanging="425"/>
        <w:jc w:val="both"/>
        <w:rPr>
          <w:rFonts w:cs="Arial"/>
          <w:bCs/>
        </w:rPr>
      </w:pPr>
      <w:r>
        <w:t>Novas (ou presumivelmente novas) alterações significativas do segmento ST/onda T (ST-T) ou novo bloqueio completo do ramo esquerdo (BCRE)</w:t>
      </w:r>
    </w:p>
    <w:p w14:paraId="12ED18A9" w14:textId="77777777" w:rsidR="00AA2297" w:rsidRPr="007D7A61" w:rsidRDefault="00AA2297" w:rsidP="00D437A6">
      <w:pPr>
        <w:pStyle w:val="ListParagraph"/>
        <w:numPr>
          <w:ilvl w:val="0"/>
          <w:numId w:val="31"/>
        </w:numPr>
        <w:ind w:left="709" w:hanging="425"/>
        <w:jc w:val="both"/>
        <w:rPr>
          <w:rFonts w:cs="Arial"/>
          <w:bCs/>
        </w:rPr>
      </w:pPr>
      <w:r>
        <w:t>Desenvolvimento de ondas Q patológicas no ECG</w:t>
      </w:r>
    </w:p>
    <w:p w14:paraId="2CD7D008" w14:textId="77777777" w:rsidR="00AA2297" w:rsidRPr="007D7A61" w:rsidRDefault="00D20D02" w:rsidP="00D437A6">
      <w:pPr>
        <w:pStyle w:val="ListParagraph"/>
        <w:numPr>
          <w:ilvl w:val="0"/>
          <w:numId w:val="31"/>
        </w:numPr>
        <w:ind w:left="709" w:hanging="425"/>
        <w:jc w:val="both"/>
        <w:rPr>
          <w:rFonts w:cs="Arial"/>
          <w:bCs/>
        </w:rPr>
      </w:pPr>
      <w:r>
        <w:t xml:space="preserve">Evidência de </w:t>
      </w:r>
      <w:r w:rsidR="003314FA">
        <w:t xml:space="preserve">nova </w:t>
      </w:r>
      <w:r w:rsidR="00AA2297">
        <w:t>perda de miocárdio viável ou novas alterações da motilidade segmentar por exame radiológico ou ecocardiográfico</w:t>
      </w:r>
    </w:p>
    <w:p w14:paraId="6E548511" w14:textId="77777777" w:rsidR="00AA2297" w:rsidRPr="007D7A61" w:rsidRDefault="00AA2297" w:rsidP="00D437A6">
      <w:pPr>
        <w:pStyle w:val="ListParagraph"/>
        <w:numPr>
          <w:ilvl w:val="0"/>
          <w:numId w:val="31"/>
        </w:numPr>
        <w:ind w:left="709" w:hanging="425"/>
        <w:jc w:val="both"/>
        <w:rPr>
          <w:rFonts w:cs="Arial"/>
          <w:bCs/>
        </w:rPr>
      </w:pPr>
      <w:r>
        <w:t>Identificação de um trombo intracoronário por angiografia ou autópsia</w:t>
      </w:r>
    </w:p>
    <w:p w14:paraId="3B81C5ED" w14:textId="77777777" w:rsidR="00AA2297" w:rsidRPr="00E92DEB" w:rsidRDefault="00AA2297" w:rsidP="007D7A61">
      <w:pPr>
        <w:contextualSpacing/>
        <w:jc w:val="both"/>
        <w:rPr>
          <w:rFonts w:cs="Arial"/>
          <w:b/>
          <w:bCs/>
        </w:rPr>
      </w:pPr>
    </w:p>
    <w:p w14:paraId="7C92EC89" w14:textId="77777777" w:rsidR="00AA2297" w:rsidRPr="00981A85" w:rsidRDefault="008B5ACC" w:rsidP="007D7A61">
      <w:pPr>
        <w:contextualSpacing/>
        <w:jc w:val="both"/>
        <w:rPr>
          <w:rFonts w:cs="Arial"/>
          <w:bCs/>
          <w:i/>
        </w:rPr>
      </w:pPr>
      <w:r>
        <w:rPr>
          <w:i/>
        </w:rPr>
        <w:t>Lesão miocárdica após cirurgia não cardíaca (MINS)</w:t>
      </w:r>
    </w:p>
    <w:p w14:paraId="2B894300" w14:textId="77777777" w:rsidR="008B5ACC" w:rsidRPr="00C20BBB" w:rsidRDefault="008B5ACC" w:rsidP="007D7A61">
      <w:pPr>
        <w:contextualSpacing/>
        <w:jc w:val="both"/>
        <w:rPr>
          <w:rFonts w:cs="Arial"/>
          <w:bCs/>
        </w:rPr>
      </w:pPr>
      <w:r>
        <w:t>Pico de troponina T de 0,03</w:t>
      </w:r>
      <w:r w:rsidR="00FA30E4">
        <w:t xml:space="preserve"> </w:t>
      </w:r>
      <w:r>
        <w:t>ng/ml ou superior, sem evidência de etiologia não isquêmica (por ex., sepse). Este critério não exige a presença de uma característica isquêmica.</w:t>
      </w:r>
    </w:p>
    <w:p w14:paraId="56031F8A" w14:textId="77777777" w:rsidR="0096090C" w:rsidRPr="00E92DEB" w:rsidRDefault="0096090C" w:rsidP="007D7A61">
      <w:pPr>
        <w:contextualSpacing/>
        <w:jc w:val="both"/>
        <w:rPr>
          <w:rFonts w:cs="Arial"/>
          <w:bCs/>
        </w:rPr>
      </w:pPr>
    </w:p>
    <w:p w14:paraId="50DDD89C" w14:textId="77777777" w:rsidR="00AA2297" w:rsidRPr="00981A85" w:rsidRDefault="00AA2297" w:rsidP="007D7A61">
      <w:pPr>
        <w:contextualSpacing/>
        <w:jc w:val="both"/>
        <w:rPr>
          <w:rFonts w:cs="Arial"/>
          <w:bCs/>
          <w:i/>
        </w:rPr>
      </w:pPr>
      <w:r>
        <w:rPr>
          <w:i/>
        </w:rPr>
        <w:t>Parada cardíaca com ressuscitação bem</w:t>
      </w:r>
      <w:r w:rsidR="00FA30E4">
        <w:rPr>
          <w:i/>
        </w:rPr>
        <w:t>-</w:t>
      </w:r>
      <w:r>
        <w:rPr>
          <w:i/>
        </w:rPr>
        <w:t>sucedida</w:t>
      </w:r>
    </w:p>
    <w:p w14:paraId="69CBAC97" w14:textId="77777777" w:rsidR="00AA2297" w:rsidRPr="00E92DEB" w:rsidRDefault="00CF03AA" w:rsidP="007D7A61">
      <w:pPr>
        <w:contextualSpacing/>
        <w:jc w:val="both"/>
        <w:rPr>
          <w:rFonts w:cs="Arial"/>
          <w:bCs/>
        </w:rPr>
      </w:pPr>
      <w:r>
        <w:t>Diagnóstico clínico de parada cardíaca seguido do retorno da circulação espontânea por, pelo menos, uma hora.</w:t>
      </w:r>
    </w:p>
    <w:p w14:paraId="45A9077A" w14:textId="77777777" w:rsidR="007D7A61" w:rsidRPr="00E92DEB" w:rsidRDefault="007D7A61" w:rsidP="007D7A61">
      <w:pPr>
        <w:contextualSpacing/>
        <w:jc w:val="both"/>
        <w:rPr>
          <w:rFonts w:cs="Arial"/>
          <w:bCs/>
          <w:i/>
        </w:rPr>
      </w:pPr>
    </w:p>
    <w:p w14:paraId="0090BF5F" w14:textId="77777777" w:rsidR="00AA2297" w:rsidRPr="00981A85" w:rsidRDefault="00AA2297" w:rsidP="007D7A61">
      <w:pPr>
        <w:contextualSpacing/>
        <w:jc w:val="both"/>
        <w:rPr>
          <w:rFonts w:cs="Arial"/>
          <w:bCs/>
          <w:i/>
        </w:rPr>
      </w:pPr>
      <w:r>
        <w:rPr>
          <w:i/>
        </w:rPr>
        <w:t>Edema pulmonar cardiogênico</w:t>
      </w:r>
    </w:p>
    <w:p w14:paraId="4C0A5024" w14:textId="77777777" w:rsidR="00AA2297" w:rsidRDefault="00456FD0" w:rsidP="007D7A61">
      <w:pPr>
        <w:contextualSpacing/>
        <w:jc w:val="both"/>
        <w:rPr>
          <w:rFonts w:cs="Arial"/>
          <w:bCs/>
        </w:rPr>
      </w:pPr>
      <w:r>
        <w:t xml:space="preserve">O edema pulmonar cardiogênico é definido como sendo um acúmulo anormal de </w:t>
      </w:r>
      <w:r w:rsidR="00E43DDD">
        <w:t>líquido</w:t>
      </w:r>
      <w:r>
        <w:t xml:space="preserve"> no pulmão causado por função cardíaca deficiente.</w:t>
      </w:r>
    </w:p>
    <w:p w14:paraId="42B14A7F" w14:textId="77777777" w:rsidR="00F62DAA" w:rsidRDefault="00F62DAA" w:rsidP="007D7A61">
      <w:pPr>
        <w:contextualSpacing/>
        <w:jc w:val="both"/>
        <w:rPr>
          <w:rFonts w:cs="Arial"/>
          <w:b/>
          <w:bCs/>
        </w:rPr>
      </w:pPr>
    </w:p>
    <w:p w14:paraId="2683D224" w14:textId="77777777" w:rsidR="00AA2297" w:rsidRPr="00E92DEB" w:rsidRDefault="00AA2297" w:rsidP="007D7A61">
      <w:pPr>
        <w:contextualSpacing/>
        <w:jc w:val="both"/>
        <w:rPr>
          <w:rFonts w:cs="Arial"/>
          <w:b/>
          <w:bCs/>
        </w:rPr>
      </w:pPr>
      <w:r>
        <w:rPr>
          <w:b/>
        </w:rPr>
        <w:t>3. Lesão renal aguda</w:t>
      </w:r>
    </w:p>
    <w:p w14:paraId="2A21670D" w14:textId="77777777" w:rsidR="00AA2297" w:rsidRPr="00E92DEB" w:rsidRDefault="00B81795" w:rsidP="007D7A61">
      <w:pPr>
        <w:contextualSpacing/>
        <w:jc w:val="both"/>
        <w:rPr>
          <w:rFonts w:cs="Arial"/>
          <w:bCs/>
        </w:rPr>
      </w:pPr>
      <w:r>
        <w:t xml:space="preserve">Uma lesão renal aguda é definida como sendo um aumento </w:t>
      </w:r>
      <w:r w:rsidR="00D61216">
        <w:t xml:space="preserve">de duas vezes </w:t>
      </w:r>
      <w:r w:rsidR="00387170">
        <w:t xml:space="preserve">na quantidade </w:t>
      </w:r>
      <w:r>
        <w:t>de creatinina sérica ou oligúria &lt;0,5 ml kg</w:t>
      </w:r>
      <w:r>
        <w:rPr>
          <w:vertAlign w:val="superscript"/>
        </w:rPr>
        <w:t>-1</w:t>
      </w:r>
      <w:r>
        <w:t xml:space="preserve"> hora</w:t>
      </w:r>
      <w:r>
        <w:rPr>
          <w:vertAlign w:val="superscript"/>
        </w:rPr>
        <w:t xml:space="preserve">-1 </w:t>
      </w:r>
      <w:r>
        <w:t xml:space="preserve">por doze horas. </w:t>
      </w:r>
    </w:p>
    <w:p w14:paraId="5E7B2B7F" w14:textId="77777777" w:rsidR="00AA2297" w:rsidRPr="00E92DEB" w:rsidRDefault="00AA2297" w:rsidP="007D7A61">
      <w:pPr>
        <w:spacing w:line="240" w:lineRule="auto"/>
        <w:contextualSpacing/>
        <w:jc w:val="both"/>
        <w:rPr>
          <w:rFonts w:cs="Arial"/>
          <w:bCs/>
        </w:rPr>
      </w:pPr>
    </w:p>
    <w:p w14:paraId="364095CF" w14:textId="77777777" w:rsidR="00AA2297" w:rsidRPr="00E92DEB" w:rsidRDefault="00AA2297" w:rsidP="007D7A61">
      <w:pPr>
        <w:contextualSpacing/>
        <w:jc w:val="both"/>
        <w:rPr>
          <w:rFonts w:cs="Arial"/>
          <w:b/>
          <w:bCs/>
        </w:rPr>
      </w:pPr>
      <w:r>
        <w:rPr>
          <w:b/>
        </w:rPr>
        <w:t>4. Outras complicações a serem notificadas</w:t>
      </w:r>
      <w:r w:rsidR="0096090C">
        <w:rPr>
          <w:b/>
        </w:rPr>
        <w:t>,</w:t>
      </w:r>
      <w:r>
        <w:rPr>
          <w:b/>
        </w:rPr>
        <w:t xml:space="preserve"> mas não analisadas como medidas do resultado</w:t>
      </w:r>
    </w:p>
    <w:p w14:paraId="66BFE48A" w14:textId="77777777" w:rsidR="007D7A61" w:rsidRPr="004B350E" w:rsidRDefault="007D7A61" w:rsidP="007D7A61">
      <w:pPr>
        <w:contextualSpacing/>
        <w:jc w:val="both"/>
        <w:rPr>
          <w:rFonts w:cs="Arial"/>
          <w:bCs/>
          <w:i/>
        </w:rPr>
      </w:pPr>
      <w:r>
        <w:rPr>
          <w:i/>
        </w:rPr>
        <w:t>Psicose aguda</w:t>
      </w:r>
    </w:p>
    <w:p w14:paraId="6AAF60C4" w14:textId="77777777" w:rsidR="007D7A61" w:rsidRPr="00E92DEB" w:rsidRDefault="007D7A61" w:rsidP="007D7A61">
      <w:pPr>
        <w:contextualSpacing/>
        <w:jc w:val="both"/>
        <w:rPr>
          <w:rFonts w:cs="Arial"/>
          <w:bCs/>
        </w:rPr>
      </w:pPr>
      <w:r>
        <w:t>Um episódio agudo de confusão ou alteração de personalidade grave que pode resultar em alucinações ou crenças delirantes</w:t>
      </w:r>
      <w:r w:rsidR="00FD722F">
        <w:t>,</w:t>
      </w:r>
      <w:r>
        <w:t xml:space="preserve"> na ausência de um diagnóstico preexistente que </w:t>
      </w:r>
      <w:r w:rsidR="00FD722F">
        <w:t>pudesse</w:t>
      </w:r>
      <w:r>
        <w:t xml:space="preserve"> ser responsável pelos sintomas e sinais clínicos.</w:t>
      </w:r>
    </w:p>
    <w:p w14:paraId="652028DA" w14:textId="77777777" w:rsidR="007D7A61" w:rsidRDefault="007D7A61" w:rsidP="007D7A61">
      <w:pPr>
        <w:contextualSpacing/>
        <w:jc w:val="both"/>
        <w:rPr>
          <w:rFonts w:cs="Arial"/>
          <w:bCs/>
          <w:i/>
        </w:rPr>
      </w:pPr>
    </w:p>
    <w:p w14:paraId="1DCC1162" w14:textId="77777777" w:rsidR="007D7A61" w:rsidRDefault="007D7A61" w:rsidP="007D7A61">
      <w:pPr>
        <w:contextualSpacing/>
        <w:jc w:val="both"/>
        <w:rPr>
          <w:rFonts w:cs="Arial"/>
          <w:bCs/>
          <w:i/>
        </w:rPr>
      </w:pPr>
      <w:r>
        <w:rPr>
          <w:i/>
        </w:rPr>
        <w:t xml:space="preserve">Síndrome do desconforto respiratório agudo </w:t>
      </w:r>
    </w:p>
    <w:p w14:paraId="38C39C71" w14:textId="77777777" w:rsidR="007D7A61" w:rsidRPr="00E92DEB" w:rsidRDefault="007D7A61" w:rsidP="007D7A61">
      <w:pPr>
        <w:contextualSpacing/>
        <w:jc w:val="both"/>
        <w:rPr>
          <w:rFonts w:cs="Arial"/>
          <w:bCs/>
        </w:rPr>
      </w:pPr>
      <w:r>
        <w:t>Desenvolvida dentro de uma semana depois da cirurgia; e radiografia ou tomografia computadorizada do tórax demonstrando opacidades bilaterais não completamente explicadas por derrames pleurais, colapso pulmonar/lobar ou nódulos; insuficiência respiratória não completamente explicada por insuficiência cardíaca ou sobrecarga de fluidos</w:t>
      </w:r>
      <w:r w:rsidR="00CB5AD2">
        <w:t>,</w:t>
      </w:r>
      <w:r>
        <w:t xml:space="preserve"> e a oxigenação corresponde</w:t>
      </w:r>
      <w:r w:rsidR="00CB5AD2">
        <w:t>ndo</w:t>
      </w:r>
      <w:r>
        <w:t xml:space="preserve"> a um dos seguintes critérios (obs.: a gravidade ainda é avaliada segundo o sistema de Clavien-Dindo):</w:t>
      </w:r>
    </w:p>
    <w:p w14:paraId="43556B99" w14:textId="77777777" w:rsidR="007D7A61" w:rsidRPr="00E92DEB" w:rsidRDefault="007D7A61" w:rsidP="00D437A6">
      <w:pPr>
        <w:numPr>
          <w:ilvl w:val="1"/>
          <w:numId w:val="17"/>
        </w:numPr>
        <w:ind w:left="426" w:hanging="426"/>
        <w:contextualSpacing/>
        <w:jc w:val="both"/>
        <w:rPr>
          <w:rFonts w:cs="Arial"/>
          <w:bCs/>
        </w:rPr>
      </w:pPr>
      <w:r>
        <w:t>Leve: PaO</w:t>
      </w:r>
      <w:r>
        <w:rPr>
          <w:vertAlign w:val="subscript"/>
        </w:rPr>
        <w:t>2</w:t>
      </w:r>
      <w:r>
        <w:t>:FiO</w:t>
      </w:r>
      <w:r>
        <w:rPr>
          <w:vertAlign w:val="subscript"/>
        </w:rPr>
        <w:t>2</w:t>
      </w:r>
      <w:r>
        <w:t xml:space="preserve"> entre 200 e 300 mmHg com PEEP ou CPAP ≥5 cmH</w:t>
      </w:r>
      <w:r>
        <w:rPr>
          <w:vertAlign w:val="subscript"/>
        </w:rPr>
        <w:t>2</w:t>
      </w:r>
      <w:r>
        <w:t>O</w:t>
      </w:r>
      <w:r>
        <w:rPr>
          <w:vertAlign w:val="superscript"/>
        </w:rPr>
        <w:t>c</w:t>
      </w:r>
    </w:p>
    <w:p w14:paraId="3F0DB089" w14:textId="77777777" w:rsidR="007D7A61" w:rsidRPr="00E92DEB" w:rsidRDefault="007D7A61" w:rsidP="00D437A6">
      <w:pPr>
        <w:numPr>
          <w:ilvl w:val="1"/>
          <w:numId w:val="17"/>
        </w:numPr>
        <w:ind w:left="426" w:hanging="426"/>
        <w:contextualSpacing/>
        <w:jc w:val="both"/>
        <w:rPr>
          <w:rFonts w:cs="Arial"/>
          <w:bCs/>
        </w:rPr>
      </w:pPr>
      <w:r>
        <w:t>Moderado: PaO</w:t>
      </w:r>
      <w:r>
        <w:rPr>
          <w:vertAlign w:val="subscript"/>
        </w:rPr>
        <w:t>2</w:t>
      </w:r>
      <w:r>
        <w:t>:FiO</w:t>
      </w:r>
      <w:r>
        <w:rPr>
          <w:vertAlign w:val="subscript"/>
        </w:rPr>
        <w:t>2</w:t>
      </w:r>
      <w:r>
        <w:t xml:space="preserve"> entre 100 e 200 mmHg com PEEP ≥5 cmH</w:t>
      </w:r>
      <w:r>
        <w:rPr>
          <w:vertAlign w:val="subscript"/>
        </w:rPr>
        <w:t>2</w:t>
      </w:r>
      <w:r>
        <w:t>O</w:t>
      </w:r>
    </w:p>
    <w:p w14:paraId="0B3A5D73" w14:textId="77777777" w:rsidR="007D7A61" w:rsidRDefault="007D7A61" w:rsidP="00D437A6">
      <w:pPr>
        <w:numPr>
          <w:ilvl w:val="1"/>
          <w:numId w:val="17"/>
        </w:numPr>
        <w:ind w:left="426" w:hanging="426"/>
        <w:contextualSpacing/>
        <w:jc w:val="both"/>
        <w:rPr>
          <w:rFonts w:cs="Arial"/>
          <w:bCs/>
        </w:rPr>
      </w:pPr>
      <w:r>
        <w:t>Grave: PaO</w:t>
      </w:r>
      <w:r>
        <w:rPr>
          <w:vertAlign w:val="subscript"/>
        </w:rPr>
        <w:t>2</w:t>
      </w:r>
      <w:r>
        <w:t>:FiO</w:t>
      </w:r>
      <w:r>
        <w:rPr>
          <w:vertAlign w:val="subscript"/>
        </w:rPr>
        <w:t>2</w:t>
      </w:r>
      <w:r>
        <w:t xml:space="preserve"> ≤100 mmHg com PEEP ≥5 cmH</w:t>
      </w:r>
      <w:r>
        <w:rPr>
          <w:vertAlign w:val="subscript"/>
        </w:rPr>
        <w:t>2</w:t>
      </w:r>
      <w:r>
        <w:t>O</w:t>
      </w:r>
    </w:p>
    <w:p w14:paraId="591FCAE9" w14:textId="77777777" w:rsidR="007D7A61" w:rsidRDefault="007D7A61" w:rsidP="007D7A61">
      <w:pPr>
        <w:contextualSpacing/>
        <w:jc w:val="both"/>
        <w:rPr>
          <w:rFonts w:cs="Arial"/>
          <w:i/>
          <w:szCs w:val="22"/>
        </w:rPr>
      </w:pPr>
    </w:p>
    <w:p w14:paraId="33B82716" w14:textId="77777777" w:rsidR="007D7A61" w:rsidRPr="004B350E" w:rsidRDefault="007D7A61" w:rsidP="007D7A61">
      <w:pPr>
        <w:contextualSpacing/>
        <w:jc w:val="both"/>
        <w:rPr>
          <w:rFonts w:cs="Arial"/>
          <w:i/>
          <w:szCs w:val="22"/>
        </w:rPr>
      </w:pPr>
      <w:r>
        <w:rPr>
          <w:i/>
        </w:rPr>
        <w:t>Anafilaxia</w:t>
      </w:r>
    </w:p>
    <w:p w14:paraId="3AC033AF" w14:textId="2334F8EF" w:rsidR="007D7A61" w:rsidRDefault="007D7A61" w:rsidP="007D7A61">
      <w:pPr>
        <w:contextualSpacing/>
        <w:jc w:val="both"/>
        <w:rPr>
          <w:rFonts w:cs="Arial"/>
          <w:szCs w:val="22"/>
        </w:rPr>
      </w:pPr>
      <w:r>
        <w:t>Reação de hipersensibilidade generalizada ou sistêmica grave, potencialmente fatal.</w:t>
      </w:r>
    </w:p>
    <w:p w14:paraId="7A8B9F5B" w14:textId="77777777" w:rsidR="007D7A61" w:rsidRDefault="007D7A61" w:rsidP="007D7A61">
      <w:pPr>
        <w:contextualSpacing/>
        <w:jc w:val="both"/>
        <w:rPr>
          <w:rFonts w:cs="Arial"/>
          <w:bCs/>
          <w:i/>
        </w:rPr>
      </w:pPr>
    </w:p>
    <w:p w14:paraId="596D5DA5" w14:textId="77777777" w:rsidR="007D7A61" w:rsidRPr="004B350E" w:rsidRDefault="007D7A61" w:rsidP="007D7A61">
      <w:pPr>
        <w:contextualSpacing/>
        <w:jc w:val="both"/>
        <w:rPr>
          <w:rFonts w:cs="Arial"/>
          <w:bCs/>
          <w:i/>
        </w:rPr>
      </w:pPr>
      <w:r>
        <w:rPr>
          <w:i/>
        </w:rPr>
        <w:t>Ruptura anastomótica</w:t>
      </w:r>
    </w:p>
    <w:p w14:paraId="53AE58E2" w14:textId="423EB70D" w:rsidR="007D7A61" w:rsidRPr="00E92DEB" w:rsidRDefault="007D7A61" w:rsidP="007D7A61">
      <w:pPr>
        <w:contextualSpacing/>
        <w:jc w:val="both"/>
        <w:rPr>
          <w:rFonts w:cs="Arial"/>
          <w:bCs/>
        </w:rPr>
      </w:pPr>
      <w:r>
        <w:t xml:space="preserve">Fuga do conteúdo luminal de uma conexão cirúrgica entre duas vísceras ocas. O conteúdo luminal pode emergir através da ferida ou do sítio de drenagem, ou pode acumular-se perto da anastomose, causando febre, abscesso, septicemia, alteração metabólica e/ou falência de múltiplos órgãos. A fuga do conteúdo luminal do sítio da anastomose a </w:t>
      </w:r>
      <w:r w:rsidR="00BA1656">
        <w:t xml:space="preserve">uma </w:t>
      </w:r>
      <w:r>
        <w:t>zona localizada adjacente, detectada por imagens, na ausência de sintomas e sinais clínicos, deve ser registrada como uma fuga subclínica.</w:t>
      </w:r>
    </w:p>
    <w:p w14:paraId="6294BD0D" w14:textId="77777777" w:rsidR="007D7A61" w:rsidRDefault="007D7A61" w:rsidP="007D7A61">
      <w:pPr>
        <w:contextualSpacing/>
        <w:jc w:val="both"/>
        <w:rPr>
          <w:rFonts w:cs="Arial"/>
          <w:bCs/>
          <w:i/>
        </w:rPr>
      </w:pPr>
    </w:p>
    <w:p w14:paraId="7F258B96" w14:textId="77777777" w:rsidR="007D7A61" w:rsidRPr="004B350E" w:rsidRDefault="007D7A61" w:rsidP="007D7A61">
      <w:pPr>
        <w:contextualSpacing/>
        <w:jc w:val="both"/>
        <w:rPr>
          <w:rFonts w:cs="Arial"/>
          <w:bCs/>
          <w:i/>
        </w:rPr>
      </w:pPr>
      <w:r>
        <w:rPr>
          <w:i/>
        </w:rPr>
        <w:t>Infarto intestinal</w:t>
      </w:r>
    </w:p>
    <w:p w14:paraId="5E6900F6" w14:textId="77777777" w:rsidR="007D7A61" w:rsidRPr="00E92DEB" w:rsidRDefault="007D7A61" w:rsidP="007D7A61">
      <w:pPr>
        <w:contextualSpacing/>
        <w:jc w:val="both"/>
        <w:rPr>
          <w:rFonts w:cs="Arial"/>
          <w:bCs/>
        </w:rPr>
      </w:pPr>
      <w:r>
        <w:t>Diagnóstico clínico demonstrado em laparotomia.</w:t>
      </w:r>
    </w:p>
    <w:p w14:paraId="7D56C6CA" w14:textId="77777777" w:rsidR="00F62DAA" w:rsidRDefault="00F62DAA" w:rsidP="007D7A61">
      <w:pPr>
        <w:contextualSpacing/>
        <w:jc w:val="both"/>
        <w:rPr>
          <w:rFonts w:cs="Arial"/>
          <w:bCs/>
          <w:i/>
        </w:rPr>
      </w:pPr>
    </w:p>
    <w:p w14:paraId="05152308" w14:textId="77777777" w:rsidR="007D7A61" w:rsidRPr="004B350E" w:rsidRDefault="005815C2" w:rsidP="007D7A61">
      <w:pPr>
        <w:contextualSpacing/>
        <w:jc w:val="both"/>
        <w:rPr>
          <w:rFonts w:cs="Arial"/>
          <w:bCs/>
          <w:i/>
        </w:rPr>
      </w:pPr>
      <w:r>
        <w:rPr>
          <w:i/>
        </w:rPr>
        <w:t>Hemorragia digestiva</w:t>
      </w:r>
    </w:p>
    <w:p w14:paraId="16ED8FE6" w14:textId="7B013979" w:rsidR="007D7A61" w:rsidRPr="00E92DEB" w:rsidRDefault="007D7A61" w:rsidP="007D7A61">
      <w:pPr>
        <w:contextualSpacing/>
        <w:jc w:val="both"/>
        <w:rPr>
          <w:rFonts w:cs="Arial"/>
          <w:bCs/>
        </w:rPr>
      </w:pPr>
      <w:r>
        <w:t>A hemorragia digestiva é definida como sendo uma evidência clínica ou endoscópica inequívoca de sangue no trato gastrointestinal. A hemorragia digestiva alta é a que ocorre na parte superior do trato gastrointestinal, proximal ao ligamento de Treitz (esôfago, estômago e duodeno). A hemorragia digestiva baixa é a que ocorre na parte inferior do trato gastrointestinal (intestino delgado e cólon).</w:t>
      </w:r>
    </w:p>
    <w:p w14:paraId="32B6218E" w14:textId="77777777" w:rsidR="007D7A61" w:rsidRPr="00E92DEB" w:rsidRDefault="007D7A61" w:rsidP="007D7A61">
      <w:pPr>
        <w:contextualSpacing/>
        <w:jc w:val="both"/>
        <w:rPr>
          <w:rFonts w:cs="Arial"/>
          <w:bCs/>
        </w:rPr>
      </w:pPr>
    </w:p>
    <w:p w14:paraId="10320481" w14:textId="77777777" w:rsidR="007D7A61" w:rsidRPr="004B350E" w:rsidRDefault="007D7A61" w:rsidP="007D7A61">
      <w:pPr>
        <w:contextualSpacing/>
        <w:jc w:val="both"/>
        <w:rPr>
          <w:rFonts w:cs="Arial"/>
          <w:bCs/>
          <w:i/>
        </w:rPr>
      </w:pPr>
      <w:r>
        <w:rPr>
          <w:i/>
        </w:rPr>
        <w:t>Síndrome da disfunção de múltiplos órgãos</w:t>
      </w:r>
    </w:p>
    <w:p w14:paraId="69E37A04" w14:textId="7906C94B" w:rsidR="007D7A61" w:rsidRPr="00E92DEB" w:rsidRDefault="007D7A61" w:rsidP="007D7A61">
      <w:pPr>
        <w:contextualSpacing/>
        <w:jc w:val="both"/>
        <w:rPr>
          <w:rFonts w:cs="Arial"/>
          <w:bCs/>
        </w:rPr>
      </w:pPr>
      <w:r>
        <w:t>Transtorno fisiológico potencialmente fatal</w:t>
      </w:r>
      <w:r w:rsidR="0096090C">
        <w:t>,</w:t>
      </w:r>
      <w:r>
        <w:t xml:space="preserve"> mas </w:t>
      </w:r>
      <w:r w:rsidR="007C5175">
        <w:t xml:space="preserve">que pode ser </w:t>
      </w:r>
      <w:r>
        <w:t>reversível, envolvendo a falha na função de dois ou vários órgãos não envolvidos no processo primário da doença subjacente.</w:t>
      </w:r>
    </w:p>
    <w:p w14:paraId="56CCCB49" w14:textId="77777777" w:rsidR="007D7A61" w:rsidRDefault="007D7A61" w:rsidP="007D7A61">
      <w:pPr>
        <w:contextualSpacing/>
        <w:jc w:val="both"/>
        <w:rPr>
          <w:rFonts w:cs="Arial"/>
          <w:bCs/>
          <w:i/>
        </w:rPr>
      </w:pPr>
    </w:p>
    <w:p w14:paraId="099F9593" w14:textId="77777777" w:rsidR="007D7A61" w:rsidRPr="004B350E" w:rsidRDefault="007D7A61" w:rsidP="007D7A61">
      <w:pPr>
        <w:contextualSpacing/>
        <w:jc w:val="both"/>
        <w:rPr>
          <w:rFonts w:cs="Arial"/>
          <w:bCs/>
          <w:i/>
        </w:rPr>
      </w:pPr>
      <w:r>
        <w:rPr>
          <w:i/>
        </w:rPr>
        <w:t>Íleo paralítico</w:t>
      </w:r>
    </w:p>
    <w:p w14:paraId="4A39EB03" w14:textId="146549A5" w:rsidR="007D7A61" w:rsidRDefault="007D7A61" w:rsidP="007D7A61">
      <w:pPr>
        <w:contextualSpacing/>
        <w:jc w:val="both"/>
        <w:rPr>
          <w:rFonts w:cs="Arial"/>
          <w:bCs/>
        </w:rPr>
      </w:pPr>
      <w:r>
        <w:t>Intolerância a alimentos sólidos ou ausência de movimento peristáltico durante três ou mais dias após a cirurgia.</w:t>
      </w:r>
    </w:p>
    <w:p w14:paraId="2AF9BE4A" w14:textId="77777777" w:rsidR="007D7A61" w:rsidRDefault="007D7A61" w:rsidP="007D7A61">
      <w:pPr>
        <w:widowControl w:val="0"/>
        <w:autoSpaceDE w:val="0"/>
        <w:autoSpaceDN w:val="0"/>
        <w:adjustRightInd w:val="0"/>
        <w:contextualSpacing/>
        <w:jc w:val="both"/>
        <w:rPr>
          <w:rFonts w:cs="Arial"/>
          <w:i/>
          <w:szCs w:val="22"/>
        </w:rPr>
      </w:pPr>
    </w:p>
    <w:p w14:paraId="4A05DB73" w14:textId="77777777" w:rsidR="007D7A61" w:rsidRPr="004B350E" w:rsidRDefault="007D7A61" w:rsidP="007D7A61">
      <w:pPr>
        <w:widowControl w:val="0"/>
        <w:autoSpaceDE w:val="0"/>
        <w:autoSpaceDN w:val="0"/>
        <w:adjustRightInd w:val="0"/>
        <w:contextualSpacing/>
        <w:jc w:val="both"/>
        <w:rPr>
          <w:rFonts w:cs="Arial"/>
          <w:i/>
          <w:szCs w:val="22"/>
        </w:rPr>
      </w:pPr>
      <w:r>
        <w:rPr>
          <w:i/>
        </w:rPr>
        <w:t>Víscera perfurada</w:t>
      </w:r>
    </w:p>
    <w:p w14:paraId="5DC097F4" w14:textId="77777777" w:rsidR="007D7A61" w:rsidRDefault="007D7A61" w:rsidP="007D7A61">
      <w:pPr>
        <w:widowControl w:val="0"/>
        <w:autoSpaceDE w:val="0"/>
        <w:autoSpaceDN w:val="0"/>
        <w:adjustRightInd w:val="0"/>
        <w:spacing w:after="240"/>
        <w:contextualSpacing/>
        <w:jc w:val="both"/>
        <w:rPr>
          <w:rFonts w:cs="Arial"/>
          <w:szCs w:val="22"/>
        </w:rPr>
      </w:pPr>
      <w:r>
        <w:t xml:space="preserve">Diagnóstico clínico demonstrado em laparotomia ou confirmado por radiografia </w:t>
      </w:r>
      <w:r w:rsidR="007C5175">
        <w:t xml:space="preserve">de </w:t>
      </w:r>
      <w:r>
        <w:t>contraste ou tomografia computadorizada. Por exemplo: perfuração do intestino, vesícula biliar, etc.</w:t>
      </w:r>
    </w:p>
    <w:p w14:paraId="409248ED" w14:textId="77777777" w:rsidR="002164B1" w:rsidRDefault="002164B1" w:rsidP="007D7A61">
      <w:pPr>
        <w:contextualSpacing/>
        <w:jc w:val="both"/>
        <w:rPr>
          <w:rFonts w:cs="Arial"/>
          <w:bCs/>
          <w:i/>
        </w:rPr>
      </w:pPr>
    </w:p>
    <w:p w14:paraId="47048B68" w14:textId="77777777" w:rsidR="00AA2297" w:rsidRPr="004B350E" w:rsidRDefault="002164B1" w:rsidP="007D7A61">
      <w:pPr>
        <w:contextualSpacing/>
        <w:jc w:val="both"/>
        <w:rPr>
          <w:rFonts w:cs="Arial"/>
          <w:bCs/>
          <w:i/>
        </w:rPr>
      </w:pPr>
      <w:r>
        <w:rPr>
          <w:i/>
        </w:rPr>
        <w:t xml:space="preserve">Outro tipo de hemorragia pós-operatória (hemorragia </w:t>
      </w:r>
      <w:r w:rsidR="00E20351">
        <w:rPr>
          <w:i/>
        </w:rPr>
        <w:t xml:space="preserve">não </w:t>
      </w:r>
      <w:r>
        <w:rPr>
          <w:i/>
        </w:rPr>
        <w:t>gastrointestinal)</w:t>
      </w:r>
    </w:p>
    <w:p w14:paraId="1464F06C" w14:textId="0CC6FB1D" w:rsidR="00AA2297" w:rsidRPr="00E92DEB" w:rsidRDefault="005D689D" w:rsidP="007D7A61">
      <w:pPr>
        <w:contextualSpacing/>
        <w:jc w:val="both"/>
        <w:rPr>
          <w:rFonts w:cs="Arial"/>
          <w:bCs/>
        </w:rPr>
      </w:pPr>
      <w:r>
        <w:t>Perda de sangue dentro de 72 horas após o início da cirurgia que normalmente iria resultar em uma transfusão sanguínea.</w:t>
      </w:r>
    </w:p>
    <w:p w14:paraId="7F681854" w14:textId="77777777" w:rsidR="007D7A61" w:rsidRDefault="007D7A61" w:rsidP="007D7A61">
      <w:pPr>
        <w:contextualSpacing/>
        <w:jc w:val="both"/>
        <w:rPr>
          <w:rFonts w:cs="Arial"/>
          <w:bCs/>
          <w:i/>
        </w:rPr>
      </w:pPr>
    </w:p>
    <w:p w14:paraId="577A3817" w14:textId="77777777" w:rsidR="007D7A61" w:rsidRPr="004B350E" w:rsidRDefault="007D7A61" w:rsidP="007D7A61">
      <w:pPr>
        <w:contextualSpacing/>
        <w:jc w:val="both"/>
        <w:rPr>
          <w:rFonts w:cs="Arial"/>
          <w:bCs/>
          <w:i/>
        </w:rPr>
      </w:pPr>
      <w:r>
        <w:rPr>
          <w:i/>
        </w:rPr>
        <w:t>Embolismo pulmonar</w:t>
      </w:r>
    </w:p>
    <w:p w14:paraId="06C6A1A7" w14:textId="489C358A" w:rsidR="007D7A61" w:rsidRDefault="007D7A61" w:rsidP="007D7A61">
      <w:pPr>
        <w:contextualSpacing/>
        <w:jc w:val="both"/>
        <w:rPr>
          <w:rFonts w:cs="Arial"/>
          <w:bCs/>
        </w:rPr>
      </w:pPr>
      <w:r>
        <w:t>Um novo coágulo sanguíneo ou trombo no sistema arterial pulmonar. Os testes de diagnóstico adequados incluem cintilografia e angiografia por tomografia computadorizada. Não se recomenda a detecção de dímero-D em plasma como um teste de diagnóstico nas três primeiras semanas após a cirurgia.</w:t>
      </w:r>
    </w:p>
    <w:p w14:paraId="0D34283D" w14:textId="77777777" w:rsidR="00E92DEB" w:rsidRDefault="00E92DEB" w:rsidP="007D7A61">
      <w:pPr>
        <w:contextualSpacing/>
        <w:jc w:val="both"/>
        <w:rPr>
          <w:rFonts w:cs="Arial"/>
          <w:b/>
          <w:bCs/>
          <w:i/>
        </w:rPr>
      </w:pPr>
    </w:p>
    <w:p w14:paraId="24F851DA" w14:textId="77777777" w:rsidR="00AA2297" w:rsidRPr="004B350E" w:rsidRDefault="00AA2297" w:rsidP="007D7A61">
      <w:pPr>
        <w:contextualSpacing/>
        <w:jc w:val="both"/>
        <w:rPr>
          <w:rFonts w:cs="Arial"/>
          <w:bCs/>
          <w:i/>
        </w:rPr>
      </w:pPr>
      <w:r>
        <w:rPr>
          <w:i/>
        </w:rPr>
        <w:t>Acidente vascular cerebral</w:t>
      </w:r>
    </w:p>
    <w:p w14:paraId="6568D9AE" w14:textId="2BBEDD34" w:rsidR="005069CE" w:rsidRPr="004B350E" w:rsidRDefault="005D689D" w:rsidP="007D7A61">
      <w:pPr>
        <w:contextualSpacing/>
        <w:jc w:val="both"/>
        <w:rPr>
          <w:rFonts w:cs="Arial"/>
          <w:bCs/>
          <w:vanish/>
        </w:rPr>
      </w:pPr>
      <w:r>
        <w:t>Evento cerebral embólico, trombótico ou hemorrágico com disfunção motora, sensorial ou cognitiva residual persistente (por ex., hemiplegia, hemiparesia, afasia, déficit sensorial, perda de memória).</w:t>
      </w:r>
    </w:p>
    <w:p w14:paraId="0273DEFA" w14:textId="77777777" w:rsidR="00AA2297" w:rsidRDefault="00AA2297" w:rsidP="007D7A61">
      <w:pPr>
        <w:contextualSpacing/>
        <w:jc w:val="both"/>
        <w:rPr>
          <w:rFonts w:cs="Arial"/>
          <w:b/>
          <w:bCs/>
          <w:i/>
        </w:rPr>
      </w:pPr>
    </w:p>
    <w:p w14:paraId="323DCC7A" w14:textId="77777777" w:rsidR="002D2B99" w:rsidRDefault="002D2B99" w:rsidP="007D7A61">
      <w:pPr>
        <w:contextualSpacing/>
        <w:rPr>
          <w:rFonts w:cs="Arial"/>
          <w:szCs w:val="22"/>
        </w:rPr>
      </w:pPr>
    </w:p>
    <w:p w14:paraId="07DA2BE2" w14:textId="77777777" w:rsidR="002D2B99" w:rsidRDefault="00900887" w:rsidP="007D7A61">
      <w:pPr>
        <w:spacing w:line="240" w:lineRule="auto"/>
        <w:contextualSpacing/>
        <w:rPr>
          <w:rFonts w:cs="Arial"/>
          <w:b/>
          <w:sz w:val="28"/>
          <w:szCs w:val="22"/>
        </w:rPr>
      </w:pPr>
      <w:r>
        <w:rPr>
          <w:b/>
          <w:sz w:val="28"/>
        </w:rPr>
        <w:t>Outras definições</w:t>
      </w:r>
    </w:p>
    <w:p w14:paraId="57D23320" w14:textId="77777777" w:rsidR="00B912CC" w:rsidRDefault="002D2B99" w:rsidP="007D7A61">
      <w:pPr>
        <w:pStyle w:val="Heading1"/>
        <w:contextualSpacing/>
      </w:pPr>
      <w:bookmarkStart w:id="103" w:name="_Toc466030517"/>
      <w:bookmarkStart w:id="104" w:name="_Toc508183538"/>
      <w:r>
        <w:t>1. Tratamento imunossupressor pré-operatório</w:t>
      </w:r>
      <w:bookmarkEnd w:id="103"/>
      <w:bookmarkEnd w:id="104"/>
    </w:p>
    <w:p w14:paraId="36002B0B" w14:textId="77777777" w:rsidR="00B912CC" w:rsidRPr="00D213FE" w:rsidRDefault="00900887" w:rsidP="00D213FE">
      <w:pPr>
        <w:jc w:val="both"/>
      </w:pPr>
      <w:r>
        <w:rPr>
          <w:i/>
        </w:rPr>
        <w:t>Corticoides pré-operatórios:</w:t>
      </w:r>
      <w:r>
        <w:t xml:space="preserve"> Administração regular de um medicamento corticosteroide por via oral ou parenteral (por ex., prednisona, decadron) que termina dentro dos 30 dias anteriores à cirurgia para uma condição médica crônica (por ex., DPOC, asma, artrite reumatoide, doença inflamatória intestinal). Não se incluem os corticosteroides tópicos aplicados via cutânea, tampouco os corticosteroides administrados via retal ou por inalação. Isto não inclui os esteroides de curta duração administrados por 10 dias ou menos.</w:t>
      </w:r>
    </w:p>
    <w:p w14:paraId="3F80055C" w14:textId="77777777" w:rsidR="00B912CC" w:rsidRPr="00E02748" w:rsidRDefault="00B912CC" w:rsidP="007D7A61">
      <w:pPr>
        <w:shd w:val="clear" w:color="auto" w:fill="FFFFFF"/>
        <w:contextualSpacing/>
        <w:jc w:val="both"/>
        <w:rPr>
          <w:rFonts w:cs="Arial"/>
          <w:color w:val="222222"/>
          <w:szCs w:val="22"/>
        </w:rPr>
      </w:pPr>
    </w:p>
    <w:p w14:paraId="2D5A7563" w14:textId="77777777" w:rsidR="00B912CC" w:rsidRPr="00E02748" w:rsidRDefault="00900887" w:rsidP="007D7A61">
      <w:pPr>
        <w:shd w:val="clear" w:color="auto" w:fill="FFFFFF"/>
        <w:contextualSpacing/>
        <w:jc w:val="both"/>
        <w:rPr>
          <w:rFonts w:cs="Arial"/>
          <w:color w:val="222222"/>
          <w:szCs w:val="22"/>
        </w:rPr>
      </w:pPr>
      <w:r>
        <w:rPr>
          <w:i/>
        </w:rPr>
        <w:t>Quimioterapia pré-operatória para malignidades</w:t>
      </w:r>
      <w:r w:rsidR="002D1229">
        <w:rPr>
          <w:i/>
        </w:rPr>
        <w:t>:</w:t>
      </w:r>
      <w:r>
        <w:t xml:space="preserve"> Qualquer tratamento quimioterápico para câncer finalizado dentro de 30 dias antes da cirurgia.</w:t>
      </w:r>
      <w:r>
        <w:rPr>
          <w:color w:val="000000"/>
        </w:rPr>
        <w:t xml:space="preserve"> A quimioterapia inclui, mas não se limita ao tratamento via oral e parenteral com agentes quimioterápicos para malignidades tais como tumores sólidos de cólon, mama, pulmões e gastrointestinais, </w:t>
      </w:r>
      <w:r w:rsidR="003769B4">
        <w:rPr>
          <w:color w:val="000000"/>
        </w:rPr>
        <w:t xml:space="preserve">bem </w:t>
      </w:r>
      <w:r>
        <w:rPr>
          <w:color w:val="000000"/>
        </w:rPr>
        <w:t>como tumores malignos linfáticos e hematopoéticos tais como linfomas, leucemia e mieloma múltiplo. Isto não inclui tratamento constituído unicamente por terapia hormonal (25).</w:t>
      </w:r>
    </w:p>
    <w:p w14:paraId="02561E13" w14:textId="77777777" w:rsidR="00B912CC" w:rsidRPr="00E02748" w:rsidRDefault="00900887" w:rsidP="007D7A61">
      <w:pPr>
        <w:shd w:val="clear" w:color="auto" w:fill="FFFFFF"/>
        <w:contextualSpacing/>
        <w:jc w:val="both"/>
        <w:rPr>
          <w:rFonts w:cs="Arial"/>
          <w:color w:val="222222"/>
          <w:szCs w:val="22"/>
        </w:rPr>
      </w:pPr>
      <w:r>
        <w:rPr>
          <w:color w:val="000000"/>
        </w:rPr>
        <w:t> </w:t>
      </w:r>
    </w:p>
    <w:p w14:paraId="3CCC80D7" w14:textId="77777777" w:rsidR="00B912CC" w:rsidRPr="00E02748" w:rsidRDefault="00900887" w:rsidP="007D7A61">
      <w:pPr>
        <w:shd w:val="clear" w:color="auto" w:fill="FFFFFF"/>
        <w:contextualSpacing/>
        <w:jc w:val="both"/>
        <w:rPr>
          <w:rFonts w:cs="Arial"/>
          <w:color w:val="222222"/>
          <w:szCs w:val="22"/>
        </w:rPr>
      </w:pPr>
      <w:r>
        <w:rPr>
          <w:i/>
        </w:rPr>
        <w:t>Outro tratamento imunossupressor:</w:t>
      </w:r>
      <w:r>
        <w:t xml:space="preserve"> </w:t>
      </w:r>
      <w:r>
        <w:rPr>
          <w:color w:val="000000"/>
        </w:rPr>
        <w:t>qualquer outro tratamento imunossupressor administrado por via oral ou parenteral durante 10 dias ou mais, terminando dentro dos 30 dias anteriores à cirurgia, para condições inflamatórias crônicas ou autoimunes</w:t>
      </w:r>
      <w:r w:rsidR="003769B4">
        <w:rPr>
          <w:color w:val="000000"/>
        </w:rPr>
        <w:t>,</w:t>
      </w:r>
      <w:r>
        <w:rPr>
          <w:color w:val="000000"/>
        </w:rPr>
        <w:t xml:space="preserve"> ou transplante. Isto pode incluir citostáticos (por ex., ciclofosfamida, metotrexato, azatioprina), anticorpos monoclonais ou policlonais, inibidores de calcineurina (por ex., ciclosporina, tacrolimo, sirolimo) ou outros (por ex., micofenolato, proteínas de ligação ao TNF). Isto não inclui medicamentos administrados por via tópica, respiratória ou retal.</w:t>
      </w:r>
    </w:p>
    <w:p w14:paraId="0C778BF5" w14:textId="77777777" w:rsidR="00B912CC" w:rsidRDefault="00B912CC" w:rsidP="007D7A61">
      <w:pPr>
        <w:contextualSpacing/>
      </w:pPr>
    </w:p>
    <w:p w14:paraId="6140E3EF" w14:textId="77777777" w:rsidR="00B912CC" w:rsidRDefault="002D2B99" w:rsidP="002666A4">
      <w:pPr>
        <w:pStyle w:val="Heading1"/>
        <w:contextualSpacing/>
        <w:jc w:val="both"/>
      </w:pPr>
      <w:bookmarkStart w:id="105" w:name="_Toc466030518"/>
      <w:bookmarkStart w:id="106" w:name="_Toc508183539"/>
      <w:r>
        <w:t>2. Nível de cuidados após a cirurgia</w:t>
      </w:r>
      <w:bookmarkEnd w:id="105"/>
      <w:bookmarkEnd w:id="106"/>
    </w:p>
    <w:p w14:paraId="11752EEE" w14:textId="5438E736" w:rsidR="00B40711" w:rsidRPr="00B40711" w:rsidRDefault="00B40711" w:rsidP="002666A4">
      <w:pPr>
        <w:contextualSpacing/>
        <w:jc w:val="both"/>
        <w:rPr>
          <w:szCs w:val="22"/>
        </w:rPr>
      </w:pPr>
      <w:r>
        <w:t>O nível de cuidados deverá ser definido em conformidade com os cuidados recebidos pelo paciente ao invés da localidade. Por exemplo, um paciente recebendo cuidados de nível 2 em uma área de nível 3 deverá ser registrado como um paciente recebendo cuidados de nível 2.</w:t>
      </w:r>
    </w:p>
    <w:p w14:paraId="5796118A" w14:textId="77777777" w:rsidR="00B912CC" w:rsidRPr="00E02748" w:rsidRDefault="00900887" w:rsidP="002666A4">
      <w:pPr>
        <w:pStyle w:val="ListParagraph"/>
        <w:numPr>
          <w:ilvl w:val="0"/>
          <w:numId w:val="26"/>
        </w:numPr>
        <w:tabs>
          <w:tab w:val="clear" w:pos="720"/>
          <w:tab w:val="num" w:pos="284"/>
        </w:tabs>
        <w:ind w:left="284" w:hanging="284"/>
        <w:jc w:val="both"/>
        <w:rPr>
          <w:rFonts w:cs="Arial"/>
          <w:szCs w:val="22"/>
        </w:rPr>
      </w:pPr>
      <w:r>
        <w:t>Cuidados intensivos - nível 3: incluem suporte avançado de vida, por ex., ventilação invasiva, terapia de substituição renal.</w:t>
      </w:r>
    </w:p>
    <w:p w14:paraId="332BB400" w14:textId="77777777" w:rsidR="00B912CC" w:rsidRPr="00E02748" w:rsidRDefault="00900887" w:rsidP="002666A4">
      <w:pPr>
        <w:pStyle w:val="ListParagraph"/>
        <w:numPr>
          <w:ilvl w:val="0"/>
          <w:numId w:val="26"/>
        </w:numPr>
        <w:tabs>
          <w:tab w:val="clear" w:pos="720"/>
          <w:tab w:val="num" w:pos="284"/>
        </w:tabs>
        <w:ind w:left="284" w:hanging="284"/>
        <w:jc w:val="both"/>
        <w:rPr>
          <w:rFonts w:cs="Arial"/>
          <w:szCs w:val="22"/>
        </w:rPr>
      </w:pPr>
      <w:r>
        <w:t xml:space="preserve">Cuidados intensivos - nível 2: podem incluir monitoramento cardiorrespiratório avançado (por ex., monitoramento </w:t>
      </w:r>
      <w:r w:rsidR="00D8365D">
        <w:t xml:space="preserve">invasivo </w:t>
      </w:r>
      <w:r>
        <w:t>da pressão arterial/pressão venosa central) e suporte básico de vida (por ex., ventilação não invasiva, administração de medicamento inotrópico/vasoativo).</w:t>
      </w:r>
    </w:p>
    <w:p w14:paraId="2EA527D0" w14:textId="77777777" w:rsidR="00B912CC" w:rsidRPr="00E02748" w:rsidRDefault="00900887" w:rsidP="002666A4">
      <w:pPr>
        <w:pStyle w:val="ListParagraph"/>
        <w:numPr>
          <w:ilvl w:val="0"/>
          <w:numId w:val="26"/>
        </w:numPr>
        <w:tabs>
          <w:tab w:val="clear" w:pos="720"/>
          <w:tab w:val="num" w:pos="284"/>
        </w:tabs>
        <w:ind w:left="284" w:hanging="284"/>
        <w:jc w:val="both"/>
        <w:rPr>
          <w:rFonts w:cs="Arial"/>
          <w:szCs w:val="22"/>
        </w:rPr>
      </w:pPr>
      <w:r>
        <w:t>Unidade de tratamento pós-anestésica: cuidados administrados em uma área designada para os pacientes em recuperação imediata da anestesia. Pode administrar cuidados dos níveis 1 a 3.</w:t>
      </w:r>
    </w:p>
    <w:p w14:paraId="10F518CD" w14:textId="77777777" w:rsidR="00B40711" w:rsidRPr="00F62DAA" w:rsidRDefault="00900887" w:rsidP="002666A4">
      <w:pPr>
        <w:pStyle w:val="ListParagraph"/>
        <w:numPr>
          <w:ilvl w:val="0"/>
          <w:numId w:val="26"/>
        </w:numPr>
        <w:tabs>
          <w:tab w:val="clear" w:pos="720"/>
          <w:tab w:val="num" w:pos="284"/>
        </w:tabs>
        <w:ind w:left="284" w:hanging="284"/>
        <w:jc w:val="both"/>
        <w:rPr>
          <w:szCs w:val="22"/>
        </w:rPr>
      </w:pPr>
      <w:r>
        <w:t>Enfermaria cirúrgica (nível 0/1): enfermaria de cuidados normais sem capacidade de atendimento nível 2 ou 3.</w:t>
      </w:r>
      <w:r w:rsidR="00966C85" w:rsidRPr="00F62DAA">
        <w:rPr>
          <w:szCs w:val="22"/>
        </w:rPr>
        <w:fldChar w:fldCharType="begin"/>
      </w:r>
      <w:r w:rsidR="004A7C17" w:rsidRPr="00F62DAA">
        <w:rPr>
          <w:szCs w:val="22"/>
        </w:rPr>
        <w:instrText xml:space="preserve"> ADDIN </w:instrText>
      </w:r>
      <w:r w:rsidR="00966C85" w:rsidRPr="00F62DAA">
        <w:rPr>
          <w:szCs w:val="22"/>
        </w:rPr>
        <w:fldChar w:fldCharType="end"/>
      </w:r>
    </w:p>
    <w:sectPr w:rsidR="00B40711" w:rsidRPr="00F62DAA" w:rsidSect="00EB771E">
      <w:headerReference w:type="even" r:id="rId16"/>
      <w:headerReference w:type="first" r:id="rId17"/>
      <w:pgSz w:w="11906" w:h="16838"/>
      <w:pgMar w:top="1474" w:right="1797" w:bottom="1134" w:left="1797" w:header="454"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5756E" w14:textId="77777777" w:rsidR="00C6254B" w:rsidRDefault="00C6254B">
      <w:r>
        <w:separator/>
      </w:r>
    </w:p>
  </w:endnote>
  <w:endnote w:type="continuationSeparator" w:id="0">
    <w:p w14:paraId="4D8DCCBE" w14:textId="77777777" w:rsidR="00C6254B" w:rsidRDefault="00C6254B">
      <w:r>
        <w:continuationSeparator/>
      </w:r>
    </w:p>
  </w:endnote>
  <w:endnote w:type="continuationNotice" w:id="1">
    <w:p w14:paraId="6589EC38" w14:textId="77777777" w:rsidR="00C6254B" w:rsidRDefault="00C625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C5DB" w14:textId="77777777" w:rsidR="00C6254B" w:rsidRPr="00DB7282" w:rsidRDefault="00C6254B" w:rsidP="00DB7282">
    <w:pPr>
      <w:pStyle w:val="Footer"/>
      <w:rPr>
        <w:sz w:val="18"/>
        <w:szCs w:val="18"/>
      </w:rPr>
    </w:pPr>
    <w:r>
      <w:rPr>
        <w:sz w:val="18"/>
      </w:rPr>
      <w:t xml:space="preserve">OPTIMISE II Protocolo v1.0                               02/11/2016                                             </w:t>
    </w:r>
    <w:sdt>
      <w:sdtPr>
        <w:rPr>
          <w:sz w:val="18"/>
          <w:szCs w:val="18"/>
        </w:rPr>
        <w:id w:val="1565922848"/>
        <w:docPartObj>
          <w:docPartGallery w:val="Page Numbers (Top of Page)"/>
          <w:docPartUnique/>
        </w:docPartObj>
      </w:sdtPr>
      <w:sdtEndPr/>
      <w:sdtContent>
        <w:r>
          <w:rPr>
            <w:sz w:val="18"/>
          </w:rPr>
          <w:t xml:space="preserve">Página </w:t>
        </w:r>
        <w:r w:rsidRPr="00DB7282">
          <w:rPr>
            <w:b/>
            <w:bCs/>
            <w:sz w:val="18"/>
            <w:szCs w:val="18"/>
          </w:rPr>
          <w:fldChar w:fldCharType="begin"/>
        </w:r>
        <w:r w:rsidRPr="00DB7282">
          <w:rPr>
            <w:b/>
            <w:bCs/>
            <w:sz w:val="18"/>
            <w:szCs w:val="18"/>
          </w:rPr>
          <w:instrText xml:space="preserve"> PAGE </w:instrText>
        </w:r>
        <w:r w:rsidRPr="00DB7282">
          <w:rPr>
            <w:b/>
            <w:bCs/>
            <w:sz w:val="18"/>
            <w:szCs w:val="18"/>
          </w:rPr>
          <w:fldChar w:fldCharType="separate"/>
        </w:r>
        <w:r w:rsidR="00EB10BB">
          <w:rPr>
            <w:b/>
            <w:bCs/>
            <w:noProof/>
            <w:sz w:val="18"/>
            <w:szCs w:val="18"/>
          </w:rPr>
          <w:t>1</w:t>
        </w:r>
        <w:r w:rsidRPr="00DB7282">
          <w:rPr>
            <w:b/>
            <w:bCs/>
            <w:sz w:val="18"/>
            <w:szCs w:val="18"/>
          </w:rPr>
          <w:fldChar w:fldCharType="end"/>
        </w:r>
        <w:r>
          <w:rPr>
            <w:sz w:val="18"/>
          </w:rPr>
          <w:t xml:space="preserve"> de </w:t>
        </w:r>
        <w:r w:rsidRPr="00DB7282">
          <w:rPr>
            <w:b/>
            <w:bCs/>
            <w:sz w:val="18"/>
            <w:szCs w:val="18"/>
          </w:rPr>
          <w:fldChar w:fldCharType="begin"/>
        </w:r>
        <w:r w:rsidRPr="00DB7282">
          <w:rPr>
            <w:b/>
            <w:bCs/>
            <w:sz w:val="18"/>
            <w:szCs w:val="18"/>
          </w:rPr>
          <w:instrText xml:space="preserve"> NUMPAGES  </w:instrText>
        </w:r>
        <w:r w:rsidRPr="00DB7282">
          <w:rPr>
            <w:b/>
            <w:bCs/>
            <w:sz w:val="18"/>
            <w:szCs w:val="18"/>
          </w:rPr>
          <w:fldChar w:fldCharType="separate"/>
        </w:r>
        <w:r w:rsidR="00EB10BB">
          <w:rPr>
            <w:b/>
            <w:bCs/>
            <w:noProof/>
            <w:sz w:val="18"/>
            <w:szCs w:val="18"/>
          </w:rPr>
          <w:t>16</w:t>
        </w:r>
        <w:r w:rsidRPr="00DB7282">
          <w:rPr>
            <w:b/>
            <w:bCs/>
            <w:sz w:val="18"/>
            <w:szCs w:val="18"/>
          </w:rPr>
          <w:fldChar w:fldCharType="end"/>
        </w:r>
      </w:sdtContent>
    </w:sdt>
  </w:p>
  <w:p w14:paraId="48FE3474" w14:textId="77777777" w:rsidR="00C6254B" w:rsidRPr="00DB7282" w:rsidRDefault="00C6254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F6526" w14:textId="77777777" w:rsidR="00C6254B" w:rsidRDefault="00C6254B">
      <w:r>
        <w:separator/>
      </w:r>
    </w:p>
  </w:footnote>
  <w:footnote w:type="continuationSeparator" w:id="0">
    <w:p w14:paraId="02149F1E" w14:textId="77777777" w:rsidR="00C6254B" w:rsidRDefault="00C6254B">
      <w:r>
        <w:continuationSeparator/>
      </w:r>
    </w:p>
  </w:footnote>
  <w:footnote w:type="continuationNotice" w:id="1">
    <w:p w14:paraId="7B9C2710" w14:textId="77777777" w:rsidR="00C6254B" w:rsidRDefault="00C6254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6644" w14:textId="77777777" w:rsidR="00C6254B" w:rsidRDefault="00C6254B" w:rsidP="0074113D">
    <w:pPr>
      <w:pStyle w:val="Header"/>
      <w:jc w:val="both"/>
    </w:pPr>
    <w:r>
      <w:rPr>
        <w:noProof/>
        <w:lang w:val="en-GB" w:eastAsia="en-GB" w:bidi="ar-SA"/>
      </w:rPr>
      <w:drawing>
        <wp:anchor distT="0" distB="0" distL="114300" distR="114300" simplePos="0" relativeHeight="251657728" behindDoc="0" locked="0" layoutInCell="1" allowOverlap="1" wp14:anchorId="3FF101ED" wp14:editId="1BE3AA01">
          <wp:simplePos x="0" y="0"/>
          <wp:positionH relativeFrom="column">
            <wp:posOffset>-177394</wp:posOffset>
          </wp:positionH>
          <wp:positionV relativeFrom="paragraph">
            <wp:posOffset>-208178</wp:posOffset>
          </wp:positionV>
          <wp:extent cx="1170432" cy="60403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timise 2 Logo F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136" cy="604393"/>
                  </a:xfrm>
                  <a:prstGeom prst="rect">
                    <a:avLst/>
                  </a:prstGeom>
                  <a:noFill/>
                </pic:spPr>
              </pic:pic>
            </a:graphicData>
          </a:graphic>
        </wp:anchor>
      </w:drawing>
    </w:r>
    <w:r>
      <w:tab/>
    </w:r>
    <w:r>
      <w:tab/>
    </w:r>
    <w:r>
      <w:rPr>
        <w:noProof/>
        <w:lang w:val="en-GB" w:eastAsia="en-GB" w:bidi="ar-SA"/>
      </w:rPr>
      <w:drawing>
        <wp:inline distT="0" distB="0" distL="0" distR="0" wp14:anchorId="07FDB817" wp14:editId="2B8C0806">
          <wp:extent cx="1544016" cy="4029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en-mary-logo.png"/>
                  <pic:cNvPicPr/>
                </pic:nvPicPr>
                <pic:blipFill>
                  <a:blip r:embed="rId2">
                    <a:extLst>
                      <a:ext uri="{28A0092B-C50C-407E-A947-70E740481C1C}">
                        <a14:useLocalDpi xmlns:a14="http://schemas.microsoft.com/office/drawing/2010/main" val="0"/>
                      </a:ext>
                    </a:extLst>
                  </a:blip>
                  <a:stretch>
                    <a:fillRect/>
                  </a:stretch>
                </pic:blipFill>
                <pic:spPr>
                  <a:xfrm>
                    <a:off x="0" y="0"/>
                    <a:ext cx="1604800" cy="41884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6E8D" w14:textId="77777777" w:rsidR="00C6254B" w:rsidRDefault="00C625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7ADC" w14:textId="77777777" w:rsidR="00C6254B" w:rsidRDefault="00C62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824"/>
    <w:multiLevelType w:val="hybridMultilevel"/>
    <w:tmpl w:val="6D549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56BC5"/>
    <w:multiLevelType w:val="multilevel"/>
    <w:tmpl w:val="506A4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2E684C"/>
    <w:multiLevelType w:val="multilevel"/>
    <w:tmpl w:val="612654FE"/>
    <w:lvl w:ilvl="0">
      <w:start w:val="1"/>
      <w:numFmt w:val="decimal"/>
      <w:lvlText w:val="%1"/>
      <w:lvlJc w:val="left"/>
      <w:pPr>
        <w:tabs>
          <w:tab w:val="num" w:pos="4212"/>
        </w:tabs>
        <w:ind w:left="4212" w:hanging="432"/>
      </w:pPr>
      <w:rPr>
        <w:rFonts w:ascii="Arial" w:hAnsi="Arial" w:cs="Times New Roman" w:hint="default"/>
        <w:b/>
      </w:rPr>
    </w:lvl>
    <w:lvl w:ilvl="1">
      <w:start w:val="1"/>
      <w:numFmt w:val="decimal"/>
      <w:lvlText w:val="%1.%2"/>
      <w:lvlJc w:val="left"/>
      <w:pPr>
        <w:tabs>
          <w:tab w:val="num" w:pos="1476"/>
        </w:tabs>
        <w:ind w:left="1476" w:hanging="576"/>
      </w:pPr>
      <w:rPr>
        <w:rFonts w:ascii="Times New Roman" w:eastAsia="Times New Roman" w:hAnsi="Times New Roman" w:cs="Times New Roman" w:hint="default"/>
        <w:b/>
        <w:sz w:val="22"/>
        <w:szCs w:val="22"/>
      </w:rPr>
    </w:lvl>
    <w:lvl w:ilvl="2">
      <w:start w:val="1"/>
      <w:numFmt w:val="decimal"/>
      <w:lvlText w:val="%1.%2.%3"/>
      <w:lvlJc w:val="left"/>
      <w:pPr>
        <w:tabs>
          <w:tab w:val="num" w:pos="2700"/>
        </w:tabs>
        <w:ind w:left="2700" w:hanging="720"/>
      </w:pPr>
      <w:rPr>
        <w:rFonts w:ascii="Times New Roman" w:hAnsi="Times New Roman" w:cs="Times New Roman" w:hint="default"/>
        <w:b w:val="0"/>
        <w:color w:val="auto"/>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12550B5C"/>
    <w:multiLevelType w:val="multilevel"/>
    <w:tmpl w:val="D1DC6E5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53132A"/>
    <w:multiLevelType w:val="hybridMultilevel"/>
    <w:tmpl w:val="E2509DD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50632D1"/>
    <w:multiLevelType w:val="hybridMultilevel"/>
    <w:tmpl w:val="8962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907C0"/>
    <w:multiLevelType w:val="hybridMultilevel"/>
    <w:tmpl w:val="1B92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C3114A"/>
    <w:multiLevelType w:val="hybridMultilevel"/>
    <w:tmpl w:val="F91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C0BD3"/>
    <w:multiLevelType w:val="hybridMultilevel"/>
    <w:tmpl w:val="97BCB272"/>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2195843"/>
    <w:multiLevelType w:val="hybridMultilevel"/>
    <w:tmpl w:val="CD9E9C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201481"/>
    <w:multiLevelType w:val="hybridMultilevel"/>
    <w:tmpl w:val="ADDEA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D451C7"/>
    <w:multiLevelType w:val="hybridMultilevel"/>
    <w:tmpl w:val="199CE8A2"/>
    <w:lvl w:ilvl="0" w:tplc="08090001">
      <w:start w:val="1"/>
      <w:numFmt w:val="bullet"/>
      <w:lvlText w:val=""/>
      <w:lvlJc w:val="left"/>
      <w:pPr>
        <w:ind w:left="900" w:hanging="5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D674E"/>
    <w:multiLevelType w:val="hybridMultilevel"/>
    <w:tmpl w:val="DA127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0A758D"/>
    <w:multiLevelType w:val="hybridMultilevel"/>
    <w:tmpl w:val="0BA074AE"/>
    <w:lvl w:ilvl="0" w:tplc="04140005">
      <w:start w:val="1"/>
      <w:numFmt w:val="bullet"/>
      <w:lvlText w:val=""/>
      <w:lvlJc w:val="left"/>
      <w:pPr>
        <w:ind w:left="900" w:hanging="5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671BB9"/>
    <w:multiLevelType w:val="hybridMultilevel"/>
    <w:tmpl w:val="71FC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47762"/>
    <w:multiLevelType w:val="hybridMultilevel"/>
    <w:tmpl w:val="FC1C5320"/>
    <w:lvl w:ilvl="0" w:tplc="2D801438">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9360AB"/>
    <w:multiLevelType w:val="hybridMultilevel"/>
    <w:tmpl w:val="0164C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1D265B"/>
    <w:multiLevelType w:val="hybridMultilevel"/>
    <w:tmpl w:val="53681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2C4E9A"/>
    <w:multiLevelType w:val="hybridMultilevel"/>
    <w:tmpl w:val="6FF0E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FC05C4D"/>
    <w:multiLevelType w:val="hybridMultilevel"/>
    <w:tmpl w:val="82405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E25B2F"/>
    <w:multiLevelType w:val="hybridMultilevel"/>
    <w:tmpl w:val="B158EA90"/>
    <w:lvl w:ilvl="0" w:tplc="2D801438">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65184"/>
    <w:multiLevelType w:val="hybridMultilevel"/>
    <w:tmpl w:val="0318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C22CB"/>
    <w:multiLevelType w:val="hybridMultilevel"/>
    <w:tmpl w:val="EBC0CAE8"/>
    <w:lvl w:ilvl="0" w:tplc="0414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2D801438">
      <w:numFmt w:val="bullet"/>
      <w:lvlText w:val="•"/>
      <w:lvlJc w:val="left"/>
      <w:pPr>
        <w:ind w:left="2160" w:hanging="360"/>
      </w:pPr>
      <w:rPr>
        <w:rFonts w:ascii="Arial" w:eastAsia="Times New Roman" w:hAnsi="Arial" w:cs="Arial"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23">
    <w:nsid w:val="4C53567B"/>
    <w:multiLevelType w:val="hybridMultilevel"/>
    <w:tmpl w:val="0B6C75D6"/>
    <w:lvl w:ilvl="0" w:tplc="08090001">
      <w:start w:val="1"/>
      <w:numFmt w:val="bullet"/>
      <w:lvlText w:val=""/>
      <w:lvlJc w:val="left"/>
      <w:pPr>
        <w:tabs>
          <w:tab w:val="num" w:pos="720"/>
        </w:tabs>
        <w:ind w:left="720" w:hanging="360"/>
      </w:pPr>
      <w:rPr>
        <w:rFonts w:ascii="Symbol" w:hAnsi="Symbol" w:hint="default"/>
      </w:rPr>
    </w:lvl>
    <w:lvl w:ilvl="1" w:tplc="2D80143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EF26AD3"/>
    <w:multiLevelType w:val="hybridMultilevel"/>
    <w:tmpl w:val="ED3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D23633"/>
    <w:multiLevelType w:val="hybridMultilevel"/>
    <w:tmpl w:val="01046776"/>
    <w:lvl w:ilvl="0" w:tplc="04140005">
      <w:start w:val="1"/>
      <w:numFmt w:val="bullet"/>
      <w:lvlText w:val=""/>
      <w:lvlJc w:val="left"/>
      <w:pPr>
        <w:ind w:left="786" w:hanging="360"/>
      </w:pPr>
      <w:rPr>
        <w:rFonts w:ascii="Wingdings" w:hAnsi="Wingdings" w:hint="default"/>
      </w:rPr>
    </w:lvl>
    <w:lvl w:ilvl="1" w:tplc="08090001">
      <w:start w:val="1"/>
      <w:numFmt w:val="bullet"/>
      <w:lvlText w:val=""/>
      <w:lvlJc w:val="left"/>
      <w:pPr>
        <w:ind w:left="1506" w:hanging="360"/>
      </w:pPr>
      <w:rPr>
        <w:rFonts w:ascii="Symbol" w:hAnsi="Symbol" w:hint="default"/>
      </w:rPr>
    </w:lvl>
    <w:lvl w:ilvl="2" w:tplc="2D801438">
      <w:numFmt w:val="bullet"/>
      <w:lvlText w:val="•"/>
      <w:lvlJc w:val="left"/>
      <w:pPr>
        <w:ind w:left="2226" w:hanging="360"/>
      </w:pPr>
      <w:rPr>
        <w:rFonts w:ascii="Arial" w:eastAsia="Times New Roman" w:hAnsi="Arial" w:cs="Arial" w:hint="default"/>
      </w:rPr>
    </w:lvl>
    <w:lvl w:ilvl="3" w:tplc="04140001">
      <w:start w:val="1"/>
      <w:numFmt w:val="bullet"/>
      <w:lvlText w:val=""/>
      <w:lvlJc w:val="left"/>
      <w:pPr>
        <w:ind w:left="2946" w:hanging="360"/>
      </w:pPr>
      <w:rPr>
        <w:rFonts w:ascii="Symbol" w:hAnsi="Symbol" w:hint="default"/>
      </w:rPr>
    </w:lvl>
    <w:lvl w:ilvl="4" w:tplc="04140003">
      <w:start w:val="1"/>
      <w:numFmt w:val="bullet"/>
      <w:lvlText w:val="o"/>
      <w:lvlJc w:val="left"/>
      <w:pPr>
        <w:ind w:left="3666" w:hanging="360"/>
      </w:pPr>
      <w:rPr>
        <w:rFonts w:ascii="Courier New" w:hAnsi="Courier New" w:cs="Times New Roman" w:hint="default"/>
      </w:rPr>
    </w:lvl>
    <w:lvl w:ilvl="5" w:tplc="04140005">
      <w:start w:val="1"/>
      <w:numFmt w:val="bullet"/>
      <w:lvlText w:val=""/>
      <w:lvlJc w:val="left"/>
      <w:pPr>
        <w:ind w:left="4386" w:hanging="360"/>
      </w:pPr>
      <w:rPr>
        <w:rFonts w:ascii="Wingdings" w:hAnsi="Wingdings" w:hint="default"/>
      </w:rPr>
    </w:lvl>
    <w:lvl w:ilvl="6" w:tplc="04140001">
      <w:start w:val="1"/>
      <w:numFmt w:val="bullet"/>
      <w:lvlText w:val=""/>
      <w:lvlJc w:val="left"/>
      <w:pPr>
        <w:ind w:left="5106" w:hanging="360"/>
      </w:pPr>
      <w:rPr>
        <w:rFonts w:ascii="Symbol" w:hAnsi="Symbol" w:hint="default"/>
      </w:rPr>
    </w:lvl>
    <w:lvl w:ilvl="7" w:tplc="04140003">
      <w:start w:val="1"/>
      <w:numFmt w:val="bullet"/>
      <w:lvlText w:val="o"/>
      <w:lvlJc w:val="left"/>
      <w:pPr>
        <w:ind w:left="5826" w:hanging="360"/>
      </w:pPr>
      <w:rPr>
        <w:rFonts w:ascii="Courier New" w:hAnsi="Courier New" w:cs="Times New Roman" w:hint="default"/>
      </w:rPr>
    </w:lvl>
    <w:lvl w:ilvl="8" w:tplc="04140005">
      <w:start w:val="1"/>
      <w:numFmt w:val="bullet"/>
      <w:lvlText w:val=""/>
      <w:lvlJc w:val="left"/>
      <w:pPr>
        <w:ind w:left="6546" w:hanging="360"/>
      </w:pPr>
      <w:rPr>
        <w:rFonts w:ascii="Wingdings" w:hAnsi="Wingdings" w:hint="default"/>
      </w:rPr>
    </w:lvl>
  </w:abstractNum>
  <w:abstractNum w:abstractNumId="26">
    <w:nsid w:val="54C678A2"/>
    <w:multiLevelType w:val="hybridMultilevel"/>
    <w:tmpl w:val="2D6A9A72"/>
    <w:lvl w:ilvl="0" w:tplc="0414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27">
    <w:nsid w:val="56DE5B93"/>
    <w:multiLevelType w:val="hybridMultilevel"/>
    <w:tmpl w:val="1EC02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90E3AF0"/>
    <w:multiLevelType w:val="hybridMultilevel"/>
    <w:tmpl w:val="92B0D7F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FF79C0"/>
    <w:multiLevelType w:val="hybridMultilevel"/>
    <w:tmpl w:val="94B6840C"/>
    <w:lvl w:ilvl="0" w:tplc="6B6A6122">
      <w:start w:val="1"/>
      <w:numFmt w:val="decimal"/>
      <w:lvlText w:val="%1."/>
      <w:lvlJc w:val="left"/>
      <w:pPr>
        <w:tabs>
          <w:tab w:val="num" w:pos="360"/>
        </w:tabs>
        <w:ind w:left="360" w:hanging="360"/>
      </w:pPr>
      <w:rPr>
        <w:rFonts w:hint="default"/>
        <w:color w:val="FF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66B620F"/>
    <w:multiLevelType w:val="hybridMultilevel"/>
    <w:tmpl w:val="6CAC78A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94B30C8"/>
    <w:multiLevelType w:val="hybridMultilevel"/>
    <w:tmpl w:val="53B82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B003FF2"/>
    <w:multiLevelType w:val="hybridMultilevel"/>
    <w:tmpl w:val="5EF0A03A"/>
    <w:lvl w:ilvl="0" w:tplc="82767DE6">
      <w:start w:val="1"/>
      <w:numFmt w:val="decimal"/>
      <w:lvlText w:val="%1."/>
      <w:lvlJc w:val="left"/>
      <w:pPr>
        <w:tabs>
          <w:tab w:val="num" w:pos="360"/>
        </w:tabs>
        <w:ind w:left="360" w:hanging="360"/>
      </w:pPr>
      <w:rPr>
        <w:rFonts w:hint="default"/>
        <w:color w:val="008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BB4F8E"/>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0635296"/>
    <w:multiLevelType w:val="hybridMultilevel"/>
    <w:tmpl w:val="E41EE7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308AD"/>
    <w:multiLevelType w:val="hybridMultilevel"/>
    <w:tmpl w:val="1EC8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86649"/>
    <w:multiLevelType w:val="hybridMultilevel"/>
    <w:tmpl w:val="8BA0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F00FB7"/>
    <w:multiLevelType w:val="hybridMultilevel"/>
    <w:tmpl w:val="303276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3"/>
  </w:num>
  <w:num w:numId="3">
    <w:abstractNumId w:val="5"/>
  </w:num>
  <w:num w:numId="4">
    <w:abstractNumId w:val="35"/>
  </w:num>
  <w:num w:numId="5">
    <w:abstractNumId w:val="14"/>
  </w:num>
  <w:num w:numId="6">
    <w:abstractNumId w:val="2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7"/>
  </w:num>
  <w:num w:numId="11">
    <w:abstractNumId w:val="15"/>
  </w:num>
  <w:num w:numId="12">
    <w:abstractNumId w:val="19"/>
  </w:num>
  <w:num w:numId="13">
    <w:abstractNumId w:val="10"/>
  </w:num>
  <w:num w:numId="14">
    <w:abstractNumId w:val="29"/>
  </w:num>
  <w:num w:numId="15">
    <w:abstractNumId w:val="32"/>
  </w:num>
  <w:num w:numId="16">
    <w:abstractNumId w:val="18"/>
  </w:num>
  <w:num w:numId="17">
    <w:abstractNumId w:val="34"/>
  </w:num>
  <w:num w:numId="18">
    <w:abstractNumId w:val="24"/>
  </w:num>
  <w:num w:numId="19">
    <w:abstractNumId w:val="23"/>
  </w:num>
  <w:num w:numId="20">
    <w:abstractNumId w:val="6"/>
  </w:num>
  <w:num w:numId="21">
    <w:abstractNumId w:val="28"/>
  </w:num>
  <w:num w:numId="22">
    <w:abstractNumId w:val="30"/>
  </w:num>
  <w:num w:numId="23">
    <w:abstractNumId w:val="9"/>
  </w:num>
  <w:num w:numId="24">
    <w:abstractNumId w:val="3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 w:numId="29">
    <w:abstractNumId w:val="37"/>
  </w:num>
  <w:num w:numId="30">
    <w:abstractNumId w:val="8"/>
  </w:num>
  <w:num w:numId="31">
    <w:abstractNumId w:val="31"/>
  </w:num>
  <w:num w:numId="32">
    <w:abstractNumId w:val="3"/>
  </w:num>
  <w:num w:numId="33">
    <w:abstractNumId w:val="4"/>
  </w:num>
  <w:num w:numId="34">
    <w:abstractNumId w:val="22"/>
  </w:num>
  <w:num w:numId="35">
    <w:abstractNumId w:val="20"/>
  </w:num>
  <w:num w:numId="36">
    <w:abstractNumId w:val="11"/>
  </w:num>
  <w:num w:numId="37">
    <w:abstractNumId w:val="25"/>
  </w:num>
  <w:num w:numId="38">
    <w:abstractNumId w:val="13"/>
  </w:num>
  <w:num w:numId="39">
    <w:abstractNumId w:val="12"/>
  </w:num>
  <w:num w:numId="4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12289">
      <o:colormru v:ext="edit" colors="#891b52"/>
      <o:colormenu v:ext="edit" fillcolor="none" stroke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vs5prtate0zfle9fd6p5v5j595s2pfez5ae&quot;&gt;My EndNote Library&lt;record-ids&gt;&lt;item&gt;2&lt;/item&gt;&lt;item&gt;3&lt;/item&gt;&lt;item&gt;5&lt;/item&gt;&lt;item&gt;6&lt;/item&gt;&lt;item&gt;30&lt;/item&gt;&lt;item&gt;31&lt;/item&gt;&lt;item&gt;39&lt;/item&gt;&lt;item&gt;65&lt;/item&gt;&lt;item&gt;86&lt;/item&gt;&lt;item&gt;115&lt;/item&gt;&lt;item&gt;348&lt;/item&gt;&lt;item&gt;349&lt;/item&gt;&lt;item&gt;352&lt;/item&gt;&lt;item&gt;353&lt;/item&gt;&lt;item&gt;355&lt;/item&gt;&lt;item&gt;356&lt;/item&gt;&lt;item&gt;358&lt;/item&gt;&lt;item&gt;361&lt;/item&gt;&lt;/record-ids&gt;&lt;/item&gt;&lt;/Libraries&gt;"/>
  </w:docVars>
  <w:rsids>
    <w:rsidRoot w:val="001D4451"/>
    <w:rsid w:val="0000019F"/>
    <w:rsid w:val="00001292"/>
    <w:rsid w:val="000017D0"/>
    <w:rsid w:val="000022CE"/>
    <w:rsid w:val="00002599"/>
    <w:rsid w:val="00002808"/>
    <w:rsid w:val="0000369D"/>
    <w:rsid w:val="00004183"/>
    <w:rsid w:val="00006185"/>
    <w:rsid w:val="00010CC3"/>
    <w:rsid w:val="00011061"/>
    <w:rsid w:val="000130A6"/>
    <w:rsid w:val="000138F3"/>
    <w:rsid w:val="00013D2A"/>
    <w:rsid w:val="000167EC"/>
    <w:rsid w:val="00020E6F"/>
    <w:rsid w:val="000215EC"/>
    <w:rsid w:val="000241A6"/>
    <w:rsid w:val="00024743"/>
    <w:rsid w:val="0002475F"/>
    <w:rsid w:val="00024C13"/>
    <w:rsid w:val="000258DF"/>
    <w:rsid w:val="00025A64"/>
    <w:rsid w:val="00025FE6"/>
    <w:rsid w:val="00026C91"/>
    <w:rsid w:val="00026DF2"/>
    <w:rsid w:val="000279EB"/>
    <w:rsid w:val="00030005"/>
    <w:rsid w:val="000311DD"/>
    <w:rsid w:val="000329EB"/>
    <w:rsid w:val="00032EDE"/>
    <w:rsid w:val="00033163"/>
    <w:rsid w:val="000333EA"/>
    <w:rsid w:val="00035847"/>
    <w:rsid w:val="00042632"/>
    <w:rsid w:val="00042CC6"/>
    <w:rsid w:val="00043C7A"/>
    <w:rsid w:val="00043D29"/>
    <w:rsid w:val="00045360"/>
    <w:rsid w:val="000457AD"/>
    <w:rsid w:val="0005086B"/>
    <w:rsid w:val="00050B1A"/>
    <w:rsid w:val="000515EA"/>
    <w:rsid w:val="00051FE0"/>
    <w:rsid w:val="0005263E"/>
    <w:rsid w:val="00053C0B"/>
    <w:rsid w:val="000575E6"/>
    <w:rsid w:val="00057B64"/>
    <w:rsid w:val="0006014F"/>
    <w:rsid w:val="0006050B"/>
    <w:rsid w:val="00062D71"/>
    <w:rsid w:val="00065281"/>
    <w:rsid w:val="000709D6"/>
    <w:rsid w:val="0007168A"/>
    <w:rsid w:val="00073F06"/>
    <w:rsid w:val="00074404"/>
    <w:rsid w:val="0007482E"/>
    <w:rsid w:val="0007503A"/>
    <w:rsid w:val="00075FC9"/>
    <w:rsid w:val="00080195"/>
    <w:rsid w:val="00082D6E"/>
    <w:rsid w:val="00083896"/>
    <w:rsid w:val="00084E5F"/>
    <w:rsid w:val="00085425"/>
    <w:rsid w:val="000869C4"/>
    <w:rsid w:val="00086CA2"/>
    <w:rsid w:val="00087973"/>
    <w:rsid w:val="00090812"/>
    <w:rsid w:val="00090F24"/>
    <w:rsid w:val="00092E00"/>
    <w:rsid w:val="000935F5"/>
    <w:rsid w:val="00093AA4"/>
    <w:rsid w:val="000949C4"/>
    <w:rsid w:val="00095B66"/>
    <w:rsid w:val="00096B88"/>
    <w:rsid w:val="000A07FE"/>
    <w:rsid w:val="000A0F1F"/>
    <w:rsid w:val="000A38CE"/>
    <w:rsid w:val="000A3E6D"/>
    <w:rsid w:val="000A405A"/>
    <w:rsid w:val="000A4334"/>
    <w:rsid w:val="000A5249"/>
    <w:rsid w:val="000B229B"/>
    <w:rsid w:val="000B2481"/>
    <w:rsid w:val="000B2F6C"/>
    <w:rsid w:val="000B3BEB"/>
    <w:rsid w:val="000B5446"/>
    <w:rsid w:val="000B6E68"/>
    <w:rsid w:val="000B7533"/>
    <w:rsid w:val="000B7596"/>
    <w:rsid w:val="000C16AC"/>
    <w:rsid w:val="000C16CE"/>
    <w:rsid w:val="000C2E06"/>
    <w:rsid w:val="000C4C77"/>
    <w:rsid w:val="000C4EB4"/>
    <w:rsid w:val="000C65FF"/>
    <w:rsid w:val="000C6E20"/>
    <w:rsid w:val="000D0727"/>
    <w:rsid w:val="000D17F4"/>
    <w:rsid w:val="000D1BE6"/>
    <w:rsid w:val="000D3819"/>
    <w:rsid w:val="000D3CB2"/>
    <w:rsid w:val="000D4478"/>
    <w:rsid w:val="000D5485"/>
    <w:rsid w:val="000D6368"/>
    <w:rsid w:val="000D7110"/>
    <w:rsid w:val="000E15DE"/>
    <w:rsid w:val="000E2AFE"/>
    <w:rsid w:val="000E3411"/>
    <w:rsid w:val="000E43C8"/>
    <w:rsid w:val="000E4454"/>
    <w:rsid w:val="000E6EE2"/>
    <w:rsid w:val="000E7B44"/>
    <w:rsid w:val="000F2921"/>
    <w:rsid w:val="000F4658"/>
    <w:rsid w:val="000F5BC6"/>
    <w:rsid w:val="000F7519"/>
    <w:rsid w:val="00101382"/>
    <w:rsid w:val="0010480C"/>
    <w:rsid w:val="00104BE4"/>
    <w:rsid w:val="001051A3"/>
    <w:rsid w:val="001052CE"/>
    <w:rsid w:val="001059D2"/>
    <w:rsid w:val="001070CB"/>
    <w:rsid w:val="00107B08"/>
    <w:rsid w:val="00111D75"/>
    <w:rsid w:val="00112E72"/>
    <w:rsid w:val="0011363C"/>
    <w:rsid w:val="00114440"/>
    <w:rsid w:val="00114972"/>
    <w:rsid w:val="00115E17"/>
    <w:rsid w:val="00117E12"/>
    <w:rsid w:val="00122389"/>
    <w:rsid w:val="00123A30"/>
    <w:rsid w:val="00125912"/>
    <w:rsid w:val="00126E6A"/>
    <w:rsid w:val="00130E62"/>
    <w:rsid w:val="0013128B"/>
    <w:rsid w:val="0013353A"/>
    <w:rsid w:val="001362C1"/>
    <w:rsid w:val="001407CF"/>
    <w:rsid w:val="00141D52"/>
    <w:rsid w:val="001427DB"/>
    <w:rsid w:val="00144BAF"/>
    <w:rsid w:val="00145B53"/>
    <w:rsid w:val="0015045F"/>
    <w:rsid w:val="00150C5B"/>
    <w:rsid w:val="00151C90"/>
    <w:rsid w:val="0015275E"/>
    <w:rsid w:val="001535CD"/>
    <w:rsid w:val="001539FE"/>
    <w:rsid w:val="00157025"/>
    <w:rsid w:val="00160BFC"/>
    <w:rsid w:val="00162E39"/>
    <w:rsid w:val="001638DC"/>
    <w:rsid w:val="00163942"/>
    <w:rsid w:val="00163990"/>
    <w:rsid w:val="001644F9"/>
    <w:rsid w:val="00165F49"/>
    <w:rsid w:val="00166640"/>
    <w:rsid w:val="00171655"/>
    <w:rsid w:val="00172576"/>
    <w:rsid w:val="001731B5"/>
    <w:rsid w:val="00173425"/>
    <w:rsid w:val="001742DB"/>
    <w:rsid w:val="001748E5"/>
    <w:rsid w:val="001757D7"/>
    <w:rsid w:val="00177E6C"/>
    <w:rsid w:val="001808BE"/>
    <w:rsid w:val="00185000"/>
    <w:rsid w:val="00190938"/>
    <w:rsid w:val="00192C3C"/>
    <w:rsid w:val="001946B9"/>
    <w:rsid w:val="00195287"/>
    <w:rsid w:val="001A00AD"/>
    <w:rsid w:val="001A164D"/>
    <w:rsid w:val="001A1FA2"/>
    <w:rsid w:val="001A3A88"/>
    <w:rsid w:val="001A4BA3"/>
    <w:rsid w:val="001A5824"/>
    <w:rsid w:val="001B136B"/>
    <w:rsid w:val="001B142C"/>
    <w:rsid w:val="001B2FAA"/>
    <w:rsid w:val="001B3EC9"/>
    <w:rsid w:val="001B4462"/>
    <w:rsid w:val="001B54C1"/>
    <w:rsid w:val="001B7A49"/>
    <w:rsid w:val="001B7C1A"/>
    <w:rsid w:val="001C0A7E"/>
    <w:rsid w:val="001C0E18"/>
    <w:rsid w:val="001C1CF2"/>
    <w:rsid w:val="001C2D23"/>
    <w:rsid w:val="001C5677"/>
    <w:rsid w:val="001C782E"/>
    <w:rsid w:val="001D112B"/>
    <w:rsid w:val="001D14DC"/>
    <w:rsid w:val="001D27C0"/>
    <w:rsid w:val="001D43E7"/>
    <w:rsid w:val="001D4451"/>
    <w:rsid w:val="001D4A6C"/>
    <w:rsid w:val="001D5090"/>
    <w:rsid w:val="001D555C"/>
    <w:rsid w:val="001D5725"/>
    <w:rsid w:val="001D5C43"/>
    <w:rsid w:val="001D6265"/>
    <w:rsid w:val="001D7563"/>
    <w:rsid w:val="001E2BCC"/>
    <w:rsid w:val="001E44BD"/>
    <w:rsid w:val="001E5C46"/>
    <w:rsid w:val="001E79CE"/>
    <w:rsid w:val="001F0B74"/>
    <w:rsid w:val="001F1A69"/>
    <w:rsid w:val="001F2AAF"/>
    <w:rsid w:val="001F5492"/>
    <w:rsid w:val="001F7338"/>
    <w:rsid w:val="002000EA"/>
    <w:rsid w:val="0020109C"/>
    <w:rsid w:val="00201B39"/>
    <w:rsid w:val="00202052"/>
    <w:rsid w:val="00206DF1"/>
    <w:rsid w:val="00207BAA"/>
    <w:rsid w:val="00210C01"/>
    <w:rsid w:val="00212F32"/>
    <w:rsid w:val="00213EA5"/>
    <w:rsid w:val="0021537B"/>
    <w:rsid w:val="002164B1"/>
    <w:rsid w:val="002176B8"/>
    <w:rsid w:val="00222BE1"/>
    <w:rsid w:val="0022311E"/>
    <w:rsid w:val="00223C82"/>
    <w:rsid w:val="002244EE"/>
    <w:rsid w:val="00226A36"/>
    <w:rsid w:val="00227178"/>
    <w:rsid w:val="002300BC"/>
    <w:rsid w:val="00230C9E"/>
    <w:rsid w:val="00231712"/>
    <w:rsid w:val="002317F5"/>
    <w:rsid w:val="00232F63"/>
    <w:rsid w:val="00236E60"/>
    <w:rsid w:val="00237555"/>
    <w:rsid w:val="0023758D"/>
    <w:rsid w:val="002378A0"/>
    <w:rsid w:val="00237DFD"/>
    <w:rsid w:val="00240035"/>
    <w:rsid w:val="00241B63"/>
    <w:rsid w:val="00242B6C"/>
    <w:rsid w:val="002430AD"/>
    <w:rsid w:val="002432F1"/>
    <w:rsid w:val="002433AA"/>
    <w:rsid w:val="002450BE"/>
    <w:rsid w:val="00245868"/>
    <w:rsid w:val="002462E5"/>
    <w:rsid w:val="0024695F"/>
    <w:rsid w:val="00252802"/>
    <w:rsid w:val="00252CB7"/>
    <w:rsid w:val="00253914"/>
    <w:rsid w:val="00254EC3"/>
    <w:rsid w:val="00257CC6"/>
    <w:rsid w:val="00260EB2"/>
    <w:rsid w:val="00263ADE"/>
    <w:rsid w:val="00263B42"/>
    <w:rsid w:val="00265104"/>
    <w:rsid w:val="002666A4"/>
    <w:rsid w:val="002706AD"/>
    <w:rsid w:val="00270D9B"/>
    <w:rsid w:val="002753A2"/>
    <w:rsid w:val="00277412"/>
    <w:rsid w:val="00277AE7"/>
    <w:rsid w:val="002820BA"/>
    <w:rsid w:val="00283F52"/>
    <w:rsid w:val="0028488B"/>
    <w:rsid w:val="00285E12"/>
    <w:rsid w:val="002874C3"/>
    <w:rsid w:val="00291C46"/>
    <w:rsid w:val="00291DCE"/>
    <w:rsid w:val="00293B2D"/>
    <w:rsid w:val="00293DA4"/>
    <w:rsid w:val="002955EE"/>
    <w:rsid w:val="0029594C"/>
    <w:rsid w:val="002959E6"/>
    <w:rsid w:val="00295EDA"/>
    <w:rsid w:val="00296FE4"/>
    <w:rsid w:val="00297F4D"/>
    <w:rsid w:val="002A1535"/>
    <w:rsid w:val="002A4101"/>
    <w:rsid w:val="002A420B"/>
    <w:rsid w:val="002A6E4A"/>
    <w:rsid w:val="002A71EE"/>
    <w:rsid w:val="002A7668"/>
    <w:rsid w:val="002A7FCC"/>
    <w:rsid w:val="002B1625"/>
    <w:rsid w:val="002B3137"/>
    <w:rsid w:val="002B60BF"/>
    <w:rsid w:val="002B7961"/>
    <w:rsid w:val="002B7E49"/>
    <w:rsid w:val="002C01A2"/>
    <w:rsid w:val="002C05BD"/>
    <w:rsid w:val="002C1DF9"/>
    <w:rsid w:val="002C266C"/>
    <w:rsid w:val="002C5FF9"/>
    <w:rsid w:val="002C660B"/>
    <w:rsid w:val="002C6994"/>
    <w:rsid w:val="002C71AD"/>
    <w:rsid w:val="002C736D"/>
    <w:rsid w:val="002C7ECD"/>
    <w:rsid w:val="002D099F"/>
    <w:rsid w:val="002D1229"/>
    <w:rsid w:val="002D2B99"/>
    <w:rsid w:val="002D3853"/>
    <w:rsid w:val="002D4574"/>
    <w:rsid w:val="002E0A85"/>
    <w:rsid w:val="002E171F"/>
    <w:rsid w:val="002E3888"/>
    <w:rsid w:val="002E4C48"/>
    <w:rsid w:val="002E61AE"/>
    <w:rsid w:val="002E65AA"/>
    <w:rsid w:val="002E6966"/>
    <w:rsid w:val="002F08C8"/>
    <w:rsid w:val="002F1AF8"/>
    <w:rsid w:val="002F41A8"/>
    <w:rsid w:val="002F5F62"/>
    <w:rsid w:val="002F6BBD"/>
    <w:rsid w:val="00300852"/>
    <w:rsid w:val="00300C5D"/>
    <w:rsid w:val="0030127F"/>
    <w:rsid w:val="003026FE"/>
    <w:rsid w:val="00302E67"/>
    <w:rsid w:val="00302F03"/>
    <w:rsid w:val="0030411B"/>
    <w:rsid w:val="00305A02"/>
    <w:rsid w:val="00305EB7"/>
    <w:rsid w:val="00306658"/>
    <w:rsid w:val="0030760E"/>
    <w:rsid w:val="0031028D"/>
    <w:rsid w:val="003111C0"/>
    <w:rsid w:val="003124C7"/>
    <w:rsid w:val="00313A44"/>
    <w:rsid w:val="00314A5A"/>
    <w:rsid w:val="00315473"/>
    <w:rsid w:val="00320328"/>
    <w:rsid w:val="00320833"/>
    <w:rsid w:val="0032128F"/>
    <w:rsid w:val="003236D9"/>
    <w:rsid w:val="00325D1D"/>
    <w:rsid w:val="00325E64"/>
    <w:rsid w:val="00327590"/>
    <w:rsid w:val="0033039F"/>
    <w:rsid w:val="003314FA"/>
    <w:rsid w:val="0033208B"/>
    <w:rsid w:val="00332211"/>
    <w:rsid w:val="0033759B"/>
    <w:rsid w:val="00337863"/>
    <w:rsid w:val="00340EA6"/>
    <w:rsid w:val="00342245"/>
    <w:rsid w:val="00342989"/>
    <w:rsid w:val="00343788"/>
    <w:rsid w:val="00344190"/>
    <w:rsid w:val="00344D36"/>
    <w:rsid w:val="00346436"/>
    <w:rsid w:val="003506D4"/>
    <w:rsid w:val="0035118F"/>
    <w:rsid w:val="003512BA"/>
    <w:rsid w:val="003527EB"/>
    <w:rsid w:val="00354404"/>
    <w:rsid w:val="003548B6"/>
    <w:rsid w:val="00354A0F"/>
    <w:rsid w:val="003634DC"/>
    <w:rsid w:val="00363631"/>
    <w:rsid w:val="003643A9"/>
    <w:rsid w:val="0036518C"/>
    <w:rsid w:val="00366FAA"/>
    <w:rsid w:val="003701C6"/>
    <w:rsid w:val="003713DB"/>
    <w:rsid w:val="00372CD3"/>
    <w:rsid w:val="00373287"/>
    <w:rsid w:val="00374F20"/>
    <w:rsid w:val="003752A0"/>
    <w:rsid w:val="003769B4"/>
    <w:rsid w:val="00376D12"/>
    <w:rsid w:val="003809FF"/>
    <w:rsid w:val="003819E2"/>
    <w:rsid w:val="00382E53"/>
    <w:rsid w:val="003835AA"/>
    <w:rsid w:val="0038524B"/>
    <w:rsid w:val="00387170"/>
    <w:rsid w:val="00387B16"/>
    <w:rsid w:val="0039059B"/>
    <w:rsid w:val="00393BA5"/>
    <w:rsid w:val="0039604D"/>
    <w:rsid w:val="003961E6"/>
    <w:rsid w:val="00397863"/>
    <w:rsid w:val="003A0CA5"/>
    <w:rsid w:val="003A1AA7"/>
    <w:rsid w:val="003A4376"/>
    <w:rsid w:val="003A4ED6"/>
    <w:rsid w:val="003A63D2"/>
    <w:rsid w:val="003A6723"/>
    <w:rsid w:val="003B0A0B"/>
    <w:rsid w:val="003B18E7"/>
    <w:rsid w:val="003B3583"/>
    <w:rsid w:val="003B3600"/>
    <w:rsid w:val="003B4EAB"/>
    <w:rsid w:val="003B5104"/>
    <w:rsid w:val="003B5D96"/>
    <w:rsid w:val="003C097B"/>
    <w:rsid w:val="003C1D49"/>
    <w:rsid w:val="003C2629"/>
    <w:rsid w:val="003C33FB"/>
    <w:rsid w:val="003C36F7"/>
    <w:rsid w:val="003C3929"/>
    <w:rsid w:val="003C6250"/>
    <w:rsid w:val="003D1FCE"/>
    <w:rsid w:val="003D2151"/>
    <w:rsid w:val="003D30A8"/>
    <w:rsid w:val="003D31F0"/>
    <w:rsid w:val="003D5848"/>
    <w:rsid w:val="003D5AA5"/>
    <w:rsid w:val="003E162E"/>
    <w:rsid w:val="003E382C"/>
    <w:rsid w:val="003E4250"/>
    <w:rsid w:val="003E5B3E"/>
    <w:rsid w:val="003E6228"/>
    <w:rsid w:val="003E690D"/>
    <w:rsid w:val="003E6F8B"/>
    <w:rsid w:val="003E79CC"/>
    <w:rsid w:val="003E7F79"/>
    <w:rsid w:val="003F1E1D"/>
    <w:rsid w:val="003F23E2"/>
    <w:rsid w:val="003F3956"/>
    <w:rsid w:val="003F433A"/>
    <w:rsid w:val="003F4AA7"/>
    <w:rsid w:val="003F4B91"/>
    <w:rsid w:val="003F7BB7"/>
    <w:rsid w:val="00400175"/>
    <w:rsid w:val="00401057"/>
    <w:rsid w:val="0040124A"/>
    <w:rsid w:val="0040209E"/>
    <w:rsid w:val="0040381F"/>
    <w:rsid w:val="00403E04"/>
    <w:rsid w:val="00405248"/>
    <w:rsid w:val="0040583C"/>
    <w:rsid w:val="00406ED1"/>
    <w:rsid w:val="004079FF"/>
    <w:rsid w:val="00410110"/>
    <w:rsid w:val="00412EC3"/>
    <w:rsid w:val="004138C8"/>
    <w:rsid w:val="004142A5"/>
    <w:rsid w:val="00415E00"/>
    <w:rsid w:val="004169AC"/>
    <w:rsid w:val="004201FA"/>
    <w:rsid w:val="0042103C"/>
    <w:rsid w:val="00421184"/>
    <w:rsid w:val="0042130E"/>
    <w:rsid w:val="00422C2D"/>
    <w:rsid w:val="00422FC7"/>
    <w:rsid w:val="0042324B"/>
    <w:rsid w:val="004234DC"/>
    <w:rsid w:val="00424915"/>
    <w:rsid w:val="00425298"/>
    <w:rsid w:val="00426363"/>
    <w:rsid w:val="00426C5D"/>
    <w:rsid w:val="00431588"/>
    <w:rsid w:val="00431B13"/>
    <w:rsid w:val="00431CF3"/>
    <w:rsid w:val="00433F85"/>
    <w:rsid w:val="00434CC0"/>
    <w:rsid w:val="00435356"/>
    <w:rsid w:val="00435D9B"/>
    <w:rsid w:val="00436AC1"/>
    <w:rsid w:val="00436F0B"/>
    <w:rsid w:val="00437EB0"/>
    <w:rsid w:val="00440159"/>
    <w:rsid w:val="004403B3"/>
    <w:rsid w:val="00441DF2"/>
    <w:rsid w:val="004439F0"/>
    <w:rsid w:val="00443D6A"/>
    <w:rsid w:val="00444599"/>
    <w:rsid w:val="00444C39"/>
    <w:rsid w:val="0044567E"/>
    <w:rsid w:val="00451756"/>
    <w:rsid w:val="004520F2"/>
    <w:rsid w:val="00452393"/>
    <w:rsid w:val="0045408C"/>
    <w:rsid w:val="004552A0"/>
    <w:rsid w:val="00456FD0"/>
    <w:rsid w:val="00457FE7"/>
    <w:rsid w:val="00460643"/>
    <w:rsid w:val="00461B00"/>
    <w:rsid w:val="0046245C"/>
    <w:rsid w:val="00463178"/>
    <w:rsid w:val="004663C5"/>
    <w:rsid w:val="004668D2"/>
    <w:rsid w:val="00470718"/>
    <w:rsid w:val="00472E27"/>
    <w:rsid w:val="0047343E"/>
    <w:rsid w:val="0047392F"/>
    <w:rsid w:val="00474C80"/>
    <w:rsid w:val="00474EAB"/>
    <w:rsid w:val="00475828"/>
    <w:rsid w:val="00475B27"/>
    <w:rsid w:val="00476DCD"/>
    <w:rsid w:val="00480BD2"/>
    <w:rsid w:val="00481D5F"/>
    <w:rsid w:val="00482CF8"/>
    <w:rsid w:val="00483785"/>
    <w:rsid w:val="00484C60"/>
    <w:rsid w:val="00487F98"/>
    <w:rsid w:val="004900A8"/>
    <w:rsid w:val="00490748"/>
    <w:rsid w:val="00493B57"/>
    <w:rsid w:val="00494103"/>
    <w:rsid w:val="00495084"/>
    <w:rsid w:val="00495A00"/>
    <w:rsid w:val="00495D3D"/>
    <w:rsid w:val="00495FF2"/>
    <w:rsid w:val="0049669F"/>
    <w:rsid w:val="00497B58"/>
    <w:rsid w:val="00497C3F"/>
    <w:rsid w:val="004A006F"/>
    <w:rsid w:val="004A0297"/>
    <w:rsid w:val="004A1F2D"/>
    <w:rsid w:val="004A410D"/>
    <w:rsid w:val="004A4698"/>
    <w:rsid w:val="004A6786"/>
    <w:rsid w:val="004A6EB3"/>
    <w:rsid w:val="004A7333"/>
    <w:rsid w:val="004A7434"/>
    <w:rsid w:val="004A7C17"/>
    <w:rsid w:val="004B0463"/>
    <w:rsid w:val="004B1256"/>
    <w:rsid w:val="004B172F"/>
    <w:rsid w:val="004B350E"/>
    <w:rsid w:val="004B3706"/>
    <w:rsid w:val="004B3ECF"/>
    <w:rsid w:val="004B5B76"/>
    <w:rsid w:val="004C23C8"/>
    <w:rsid w:val="004C329D"/>
    <w:rsid w:val="004C3D07"/>
    <w:rsid w:val="004C526B"/>
    <w:rsid w:val="004C60D0"/>
    <w:rsid w:val="004C6D7D"/>
    <w:rsid w:val="004C77D4"/>
    <w:rsid w:val="004D0287"/>
    <w:rsid w:val="004D230B"/>
    <w:rsid w:val="004D357B"/>
    <w:rsid w:val="004D4665"/>
    <w:rsid w:val="004D4937"/>
    <w:rsid w:val="004D628D"/>
    <w:rsid w:val="004D63B9"/>
    <w:rsid w:val="004D6A6C"/>
    <w:rsid w:val="004D7070"/>
    <w:rsid w:val="004D77EB"/>
    <w:rsid w:val="004D7BB5"/>
    <w:rsid w:val="004E0301"/>
    <w:rsid w:val="004E0BB4"/>
    <w:rsid w:val="004E14D0"/>
    <w:rsid w:val="004E3C46"/>
    <w:rsid w:val="004E4064"/>
    <w:rsid w:val="004E4A47"/>
    <w:rsid w:val="004E6601"/>
    <w:rsid w:val="004E682B"/>
    <w:rsid w:val="004E7ADF"/>
    <w:rsid w:val="004E7E68"/>
    <w:rsid w:val="004F183E"/>
    <w:rsid w:val="004F24C8"/>
    <w:rsid w:val="004F3352"/>
    <w:rsid w:val="004F52DD"/>
    <w:rsid w:val="004F5776"/>
    <w:rsid w:val="004F65EF"/>
    <w:rsid w:val="005031BD"/>
    <w:rsid w:val="005057B1"/>
    <w:rsid w:val="00505EA9"/>
    <w:rsid w:val="005069CE"/>
    <w:rsid w:val="00507ED6"/>
    <w:rsid w:val="005105B6"/>
    <w:rsid w:val="00514214"/>
    <w:rsid w:val="005149B1"/>
    <w:rsid w:val="0051661E"/>
    <w:rsid w:val="00516ED5"/>
    <w:rsid w:val="00517ADC"/>
    <w:rsid w:val="00517B59"/>
    <w:rsid w:val="00520C92"/>
    <w:rsid w:val="00522049"/>
    <w:rsid w:val="0052220E"/>
    <w:rsid w:val="00523572"/>
    <w:rsid w:val="005239E5"/>
    <w:rsid w:val="00525611"/>
    <w:rsid w:val="00526206"/>
    <w:rsid w:val="00526D40"/>
    <w:rsid w:val="0053175F"/>
    <w:rsid w:val="00532854"/>
    <w:rsid w:val="00533C8D"/>
    <w:rsid w:val="0053576A"/>
    <w:rsid w:val="00540204"/>
    <w:rsid w:val="005403D4"/>
    <w:rsid w:val="00541D8C"/>
    <w:rsid w:val="00542845"/>
    <w:rsid w:val="005428B0"/>
    <w:rsid w:val="00542ED3"/>
    <w:rsid w:val="00544CBF"/>
    <w:rsid w:val="0054646B"/>
    <w:rsid w:val="00550CCE"/>
    <w:rsid w:val="00551C77"/>
    <w:rsid w:val="005530EC"/>
    <w:rsid w:val="00553BD9"/>
    <w:rsid w:val="00553CDA"/>
    <w:rsid w:val="00553EEA"/>
    <w:rsid w:val="005546CF"/>
    <w:rsid w:val="00554B6D"/>
    <w:rsid w:val="00554DCE"/>
    <w:rsid w:val="005551BA"/>
    <w:rsid w:val="00557472"/>
    <w:rsid w:val="00557BD3"/>
    <w:rsid w:val="005605AF"/>
    <w:rsid w:val="00560B8B"/>
    <w:rsid w:val="00561111"/>
    <w:rsid w:val="00562C02"/>
    <w:rsid w:val="00566480"/>
    <w:rsid w:val="005669B6"/>
    <w:rsid w:val="005702DC"/>
    <w:rsid w:val="00574C77"/>
    <w:rsid w:val="0057655A"/>
    <w:rsid w:val="00576F89"/>
    <w:rsid w:val="00577122"/>
    <w:rsid w:val="00580340"/>
    <w:rsid w:val="00580568"/>
    <w:rsid w:val="00580DC4"/>
    <w:rsid w:val="005815C2"/>
    <w:rsid w:val="005816D8"/>
    <w:rsid w:val="00581B9D"/>
    <w:rsid w:val="00584A71"/>
    <w:rsid w:val="00584EEC"/>
    <w:rsid w:val="00587C43"/>
    <w:rsid w:val="00591571"/>
    <w:rsid w:val="00591EB6"/>
    <w:rsid w:val="00592EC0"/>
    <w:rsid w:val="005946FD"/>
    <w:rsid w:val="00594B3A"/>
    <w:rsid w:val="005966F7"/>
    <w:rsid w:val="00596D9A"/>
    <w:rsid w:val="00597D2F"/>
    <w:rsid w:val="005A1422"/>
    <w:rsid w:val="005A26B0"/>
    <w:rsid w:val="005A2DC1"/>
    <w:rsid w:val="005A3582"/>
    <w:rsid w:val="005A3845"/>
    <w:rsid w:val="005A3D4A"/>
    <w:rsid w:val="005A4654"/>
    <w:rsid w:val="005A4C84"/>
    <w:rsid w:val="005A554F"/>
    <w:rsid w:val="005A698D"/>
    <w:rsid w:val="005B054C"/>
    <w:rsid w:val="005B4F02"/>
    <w:rsid w:val="005B66E5"/>
    <w:rsid w:val="005B7CAF"/>
    <w:rsid w:val="005C0CE2"/>
    <w:rsid w:val="005C322D"/>
    <w:rsid w:val="005C40CA"/>
    <w:rsid w:val="005C5BC1"/>
    <w:rsid w:val="005C71AA"/>
    <w:rsid w:val="005C7875"/>
    <w:rsid w:val="005C7FE8"/>
    <w:rsid w:val="005D0781"/>
    <w:rsid w:val="005D2B7E"/>
    <w:rsid w:val="005D3EB2"/>
    <w:rsid w:val="005D3FB0"/>
    <w:rsid w:val="005D46C4"/>
    <w:rsid w:val="005D4A4A"/>
    <w:rsid w:val="005D5324"/>
    <w:rsid w:val="005D62A5"/>
    <w:rsid w:val="005D664D"/>
    <w:rsid w:val="005D689D"/>
    <w:rsid w:val="005D739E"/>
    <w:rsid w:val="005D7F9C"/>
    <w:rsid w:val="005E16FB"/>
    <w:rsid w:val="005E2E1C"/>
    <w:rsid w:val="005E308E"/>
    <w:rsid w:val="005E4F9C"/>
    <w:rsid w:val="005E5C2F"/>
    <w:rsid w:val="005E731B"/>
    <w:rsid w:val="005E7768"/>
    <w:rsid w:val="005F077F"/>
    <w:rsid w:val="005F0C30"/>
    <w:rsid w:val="005F2326"/>
    <w:rsid w:val="005F50C0"/>
    <w:rsid w:val="005F5D50"/>
    <w:rsid w:val="005F6F4A"/>
    <w:rsid w:val="005F6FA7"/>
    <w:rsid w:val="005F7003"/>
    <w:rsid w:val="006027ED"/>
    <w:rsid w:val="00603187"/>
    <w:rsid w:val="00604847"/>
    <w:rsid w:val="00605527"/>
    <w:rsid w:val="00606126"/>
    <w:rsid w:val="0060626B"/>
    <w:rsid w:val="00606963"/>
    <w:rsid w:val="006074A8"/>
    <w:rsid w:val="0061038F"/>
    <w:rsid w:val="006104B2"/>
    <w:rsid w:val="006112D7"/>
    <w:rsid w:val="00611679"/>
    <w:rsid w:val="00611B2D"/>
    <w:rsid w:val="00614F4B"/>
    <w:rsid w:val="006152DF"/>
    <w:rsid w:val="00616C9F"/>
    <w:rsid w:val="00620073"/>
    <w:rsid w:val="0062008E"/>
    <w:rsid w:val="0062227D"/>
    <w:rsid w:val="00622486"/>
    <w:rsid w:val="006232D1"/>
    <w:rsid w:val="00624C31"/>
    <w:rsid w:val="00625BFC"/>
    <w:rsid w:val="006269A4"/>
    <w:rsid w:val="00630635"/>
    <w:rsid w:val="00630688"/>
    <w:rsid w:val="00630A84"/>
    <w:rsid w:val="0063131C"/>
    <w:rsid w:val="00631943"/>
    <w:rsid w:val="006327A1"/>
    <w:rsid w:val="00632BFE"/>
    <w:rsid w:val="006350E6"/>
    <w:rsid w:val="006362C8"/>
    <w:rsid w:val="006368D0"/>
    <w:rsid w:val="0063756F"/>
    <w:rsid w:val="00637FF8"/>
    <w:rsid w:val="0064195A"/>
    <w:rsid w:val="00642075"/>
    <w:rsid w:val="0064456E"/>
    <w:rsid w:val="00646FC8"/>
    <w:rsid w:val="0064785D"/>
    <w:rsid w:val="00647AF2"/>
    <w:rsid w:val="00650F49"/>
    <w:rsid w:val="0065194E"/>
    <w:rsid w:val="00651C8A"/>
    <w:rsid w:val="006536E1"/>
    <w:rsid w:val="00654800"/>
    <w:rsid w:val="00654B14"/>
    <w:rsid w:val="00655160"/>
    <w:rsid w:val="006573A2"/>
    <w:rsid w:val="006622BC"/>
    <w:rsid w:val="0066260E"/>
    <w:rsid w:val="006639A9"/>
    <w:rsid w:val="00663E32"/>
    <w:rsid w:val="006649D8"/>
    <w:rsid w:val="006651E5"/>
    <w:rsid w:val="006656F8"/>
    <w:rsid w:val="006669B1"/>
    <w:rsid w:val="006669B7"/>
    <w:rsid w:val="00666AF8"/>
    <w:rsid w:val="006671AD"/>
    <w:rsid w:val="006672F9"/>
    <w:rsid w:val="00670300"/>
    <w:rsid w:val="0067075D"/>
    <w:rsid w:val="00671076"/>
    <w:rsid w:val="006711DC"/>
    <w:rsid w:val="006716BF"/>
    <w:rsid w:val="00671880"/>
    <w:rsid w:val="00672203"/>
    <w:rsid w:val="00673D64"/>
    <w:rsid w:val="0067448D"/>
    <w:rsid w:val="0067483C"/>
    <w:rsid w:val="00674963"/>
    <w:rsid w:val="0067548B"/>
    <w:rsid w:val="00676989"/>
    <w:rsid w:val="006776FD"/>
    <w:rsid w:val="00677946"/>
    <w:rsid w:val="00680B23"/>
    <w:rsid w:val="006817CC"/>
    <w:rsid w:val="00682D83"/>
    <w:rsid w:val="00682E44"/>
    <w:rsid w:val="00685B48"/>
    <w:rsid w:val="00687D6A"/>
    <w:rsid w:val="006904F1"/>
    <w:rsid w:val="00692EFA"/>
    <w:rsid w:val="0069300E"/>
    <w:rsid w:val="006935DD"/>
    <w:rsid w:val="006943A6"/>
    <w:rsid w:val="006953F2"/>
    <w:rsid w:val="00695FE7"/>
    <w:rsid w:val="00696FBB"/>
    <w:rsid w:val="006A08DE"/>
    <w:rsid w:val="006A11D3"/>
    <w:rsid w:val="006A2C5A"/>
    <w:rsid w:val="006A44F3"/>
    <w:rsid w:val="006A48E0"/>
    <w:rsid w:val="006A54BB"/>
    <w:rsid w:val="006B1E08"/>
    <w:rsid w:val="006B2D63"/>
    <w:rsid w:val="006B3DFF"/>
    <w:rsid w:val="006B471E"/>
    <w:rsid w:val="006B51C0"/>
    <w:rsid w:val="006B5734"/>
    <w:rsid w:val="006B78BB"/>
    <w:rsid w:val="006C109E"/>
    <w:rsid w:val="006C19F4"/>
    <w:rsid w:val="006C4302"/>
    <w:rsid w:val="006C5787"/>
    <w:rsid w:val="006C58D6"/>
    <w:rsid w:val="006C7B3B"/>
    <w:rsid w:val="006D16C9"/>
    <w:rsid w:val="006D3A0A"/>
    <w:rsid w:val="006D3C50"/>
    <w:rsid w:val="006D4095"/>
    <w:rsid w:val="006D54EA"/>
    <w:rsid w:val="006D6B08"/>
    <w:rsid w:val="006D7458"/>
    <w:rsid w:val="006D7CD5"/>
    <w:rsid w:val="006D7F2E"/>
    <w:rsid w:val="006E39A9"/>
    <w:rsid w:val="006E5CB0"/>
    <w:rsid w:val="006E696A"/>
    <w:rsid w:val="006F1D27"/>
    <w:rsid w:val="006F4811"/>
    <w:rsid w:val="006F5A61"/>
    <w:rsid w:val="006F5FFB"/>
    <w:rsid w:val="006F7855"/>
    <w:rsid w:val="006F7A02"/>
    <w:rsid w:val="00700AAA"/>
    <w:rsid w:val="007014EF"/>
    <w:rsid w:val="0070272C"/>
    <w:rsid w:val="00702DCE"/>
    <w:rsid w:val="00702E81"/>
    <w:rsid w:val="007030F2"/>
    <w:rsid w:val="0070332F"/>
    <w:rsid w:val="007046BB"/>
    <w:rsid w:val="00707707"/>
    <w:rsid w:val="00713302"/>
    <w:rsid w:val="007145CD"/>
    <w:rsid w:val="00714BF6"/>
    <w:rsid w:val="00715633"/>
    <w:rsid w:val="00715A5F"/>
    <w:rsid w:val="00716614"/>
    <w:rsid w:val="00717208"/>
    <w:rsid w:val="007227F3"/>
    <w:rsid w:val="00722C50"/>
    <w:rsid w:val="0072492F"/>
    <w:rsid w:val="00724C4E"/>
    <w:rsid w:val="00725129"/>
    <w:rsid w:val="00726744"/>
    <w:rsid w:val="007268B4"/>
    <w:rsid w:val="00727C7F"/>
    <w:rsid w:val="00727F0C"/>
    <w:rsid w:val="0073014A"/>
    <w:rsid w:val="00730968"/>
    <w:rsid w:val="0073117C"/>
    <w:rsid w:val="00731CC8"/>
    <w:rsid w:val="0073579F"/>
    <w:rsid w:val="00736EF2"/>
    <w:rsid w:val="007375A7"/>
    <w:rsid w:val="0074113D"/>
    <w:rsid w:val="00741365"/>
    <w:rsid w:val="0074239E"/>
    <w:rsid w:val="00742E06"/>
    <w:rsid w:val="00743E0A"/>
    <w:rsid w:val="00745D9F"/>
    <w:rsid w:val="00750D82"/>
    <w:rsid w:val="00751051"/>
    <w:rsid w:val="00751380"/>
    <w:rsid w:val="007516AF"/>
    <w:rsid w:val="00751CEA"/>
    <w:rsid w:val="00751F3D"/>
    <w:rsid w:val="00752CFF"/>
    <w:rsid w:val="00752F32"/>
    <w:rsid w:val="00753AEA"/>
    <w:rsid w:val="0075674B"/>
    <w:rsid w:val="00756A4F"/>
    <w:rsid w:val="00756F96"/>
    <w:rsid w:val="007622FF"/>
    <w:rsid w:val="00762AE1"/>
    <w:rsid w:val="00763596"/>
    <w:rsid w:val="00763857"/>
    <w:rsid w:val="007640EA"/>
    <w:rsid w:val="00766635"/>
    <w:rsid w:val="00766BBE"/>
    <w:rsid w:val="00766CC0"/>
    <w:rsid w:val="00767E19"/>
    <w:rsid w:val="00771C1A"/>
    <w:rsid w:val="00772065"/>
    <w:rsid w:val="00772315"/>
    <w:rsid w:val="007731B9"/>
    <w:rsid w:val="007737C5"/>
    <w:rsid w:val="00775360"/>
    <w:rsid w:val="00776D6A"/>
    <w:rsid w:val="00777979"/>
    <w:rsid w:val="00780DA6"/>
    <w:rsid w:val="00782772"/>
    <w:rsid w:val="00784F1C"/>
    <w:rsid w:val="0078764E"/>
    <w:rsid w:val="00790B84"/>
    <w:rsid w:val="00790D42"/>
    <w:rsid w:val="00791160"/>
    <w:rsid w:val="00791286"/>
    <w:rsid w:val="007934CF"/>
    <w:rsid w:val="00793959"/>
    <w:rsid w:val="00793B42"/>
    <w:rsid w:val="007954F9"/>
    <w:rsid w:val="007963F7"/>
    <w:rsid w:val="00796862"/>
    <w:rsid w:val="007A1304"/>
    <w:rsid w:val="007A2779"/>
    <w:rsid w:val="007A31C6"/>
    <w:rsid w:val="007A44E5"/>
    <w:rsid w:val="007A6AB9"/>
    <w:rsid w:val="007B0CBD"/>
    <w:rsid w:val="007B1B69"/>
    <w:rsid w:val="007B260F"/>
    <w:rsid w:val="007B2FA7"/>
    <w:rsid w:val="007B4C1D"/>
    <w:rsid w:val="007B5918"/>
    <w:rsid w:val="007B6D43"/>
    <w:rsid w:val="007B7C51"/>
    <w:rsid w:val="007C0F5D"/>
    <w:rsid w:val="007C1B0F"/>
    <w:rsid w:val="007C2846"/>
    <w:rsid w:val="007C3500"/>
    <w:rsid w:val="007C4007"/>
    <w:rsid w:val="007C45A9"/>
    <w:rsid w:val="007C5175"/>
    <w:rsid w:val="007D090B"/>
    <w:rsid w:val="007D189A"/>
    <w:rsid w:val="007D26B5"/>
    <w:rsid w:val="007D4E76"/>
    <w:rsid w:val="007D76AC"/>
    <w:rsid w:val="007D7A61"/>
    <w:rsid w:val="007E1B1C"/>
    <w:rsid w:val="007E1BB9"/>
    <w:rsid w:val="007E3D20"/>
    <w:rsid w:val="007E56EB"/>
    <w:rsid w:val="007E5B92"/>
    <w:rsid w:val="007E5F40"/>
    <w:rsid w:val="007E61D2"/>
    <w:rsid w:val="007E7B8D"/>
    <w:rsid w:val="007F055B"/>
    <w:rsid w:val="007F1495"/>
    <w:rsid w:val="007F24B9"/>
    <w:rsid w:val="007F28B1"/>
    <w:rsid w:val="007F41F3"/>
    <w:rsid w:val="007F478A"/>
    <w:rsid w:val="007F5721"/>
    <w:rsid w:val="007F71F1"/>
    <w:rsid w:val="007F7FBC"/>
    <w:rsid w:val="00800730"/>
    <w:rsid w:val="00801368"/>
    <w:rsid w:val="00801852"/>
    <w:rsid w:val="008018E3"/>
    <w:rsid w:val="00803E80"/>
    <w:rsid w:val="0080538B"/>
    <w:rsid w:val="008074AD"/>
    <w:rsid w:val="00811366"/>
    <w:rsid w:val="00811EAD"/>
    <w:rsid w:val="008150BF"/>
    <w:rsid w:val="008158F8"/>
    <w:rsid w:val="00816AE9"/>
    <w:rsid w:val="00817C58"/>
    <w:rsid w:val="008201CA"/>
    <w:rsid w:val="00821260"/>
    <w:rsid w:val="008215B5"/>
    <w:rsid w:val="008239A5"/>
    <w:rsid w:val="008241DB"/>
    <w:rsid w:val="0082446B"/>
    <w:rsid w:val="008245BA"/>
    <w:rsid w:val="00824B10"/>
    <w:rsid w:val="00824E7A"/>
    <w:rsid w:val="00825338"/>
    <w:rsid w:val="008256CD"/>
    <w:rsid w:val="00826DFC"/>
    <w:rsid w:val="00827C96"/>
    <w:rsid w:val="00832C81"/>
    <w:rsid w:val="00833F1D"/>
    <w:rsid w:val="00834568"/>
    <w:rsid w:val="00835283"/>
    <w:rsid w:val="008358E4"/>
    <w:rsid w:val="00837E9F"/>
    <w:rsid w:val="008428B5"/>
    <w:rsid w:val="008448E4"/>
    <w:rsid w:val="00844F53"/>
    <w:rsid w:val="0084509B"/>
    <w:rsid w:val="00846677"/>
    <w:rsid w:val="008506B5"/>
    <w:rsid w:val="00850D58"/>
    <w:rsid w:val="008513A5"/>
    <w:rsid w:val="008518D8"/>
    <w:rsid w:val="0085552D"/>
    <w:rsid w:val="00856076"/>
    <w:rsid w:val="0085718C"/>
    <w:rsid w:val="00857463"/>
    <w:rsid w:val="00857A2B"/>
    <w:rsid w:val="00857C7E"/>
    <w:rsid w:val="0086319F"/>
    <w:rsid w:val="00863C74"/>
    <w:rsid w:val="00864BE5"/>
    <w:rsid w:val="0086576D"/>
    <w:rsid w:val="00865B9F"/>
    <w:rsid w:val="00865BD2"/>
    <w:rsid w:val="0086677C"/>
    <w:rsid w:val="00866EA2"/>
    <w:rsid w:val="008674AC"/>
    <w:rsid w:val="00867BC4"/>
    <w:rsid w:val="0087163F"/>
    <w:rsid w:val="00871CCA"/>
    <w:rsid w:val="00871EB3"/>
    <w:rsid w:val="008730C0"/>
    <w:rsid w:val="00873126"/>
    <w:rsid w:val="00873F12"/>
    <w:rsid w:val="008740EA"/>
    <w:rsid w:val="008745A4"/>
    <w:rsid w:val="008748C5"/>
    <w:rsid w:val="008752D3"/>
    <w:rsid w:val="00876718"/>
    <w:rsid w:val="00877A0D"/>
    <w:rsid w:val="00880742"/>
    <w:rsid w:val="008837B9"/>
    <w:rsid w:val="00884B47"/>
    <w:rsid w:val="00885C9D"/>
    <w:rsid w:val="00886217"/>
    <w:rsid w:val="00893F2E"/>
    <w:rsid w:val="00895AC8"/>
    <w:rsid w:val="00896A89"/>
    <w:rsid w:val="00897AE8"/>
    <w:rsid w:val="008A162D"/>
    <w:rsid w:val="008A2D43"/>
    <w:rsid w:val="008A3AB6"/>
    <w:rsid w:val="008A50DB"/>
    <w:rsid w:val="008A5DF5"/>
    <w:rsid w:val="008A714B"/>
    <w:rsid w:val="008B0EAB"/>
    <w:rsid w:val="008B155A"/>
    <w:rsid w:val="008B3841"/>
    <w:rsid w:val="008B5ACC"/>
    <w:rsid w:val="008C57A8"/>
    <w:rsid w:val="008C6E0F"/>
    <w:rsid w:val="008C74FF"/>
    <w:rsid w:val="008C76FC"/>
    <w:rsid w:val="008C7AAA"/>
    <w:rsid w:val="008D2DD8"/>
    <w:rsid w:val="008D32F8"/>
    <w:rsid w:val="008D4498"/>
    <w:rsid w:val="008D5BC2"/>
    <w:rsid w:val="008D5F95"/>
    <w:rsid w:val="008D6E2C"/>
    <w:rsid w:val="008D7BF1"/>
    <w:rsid w:val="008E0EC4"/>
    <w:rsid w:val="008E10FA"/>
    <w:rsid w:val="008E1209"/>
    <w:rsid w:val="008E17FF"/>
    <w:rsid w:val="008E2DB9"/>
    <w:rsid w:val="008E4332"/>
    <w:rsid w:val="008E57FC"/>
    <w:rsid w:val="008E65AE"/>
    <w:rsid w:val="008E6625"/>
    <w:rsid w:val="008E669E"/>
    <w:rsid w:val="008E6D0A"/>
    <w:rsid w:val="008F0D17"/>
    <w:rsid w:val="008F25CE"/>
    <w:rsid w:val="008F2CEF"/>
    <w:rsid w:val="008F4996"/>
    <w:rsid w:val="008F4D2D"/>
    <w:rsid w:val="008F4F3C"/>
    <w:rsid w:val="008F56A0"/>
    <w:rsid w:val="008F5879"/>
    <w:rsid w:val="008F5EDB"/>
    <w:rsid w:val="008F6056"/>
    <w:rsid w:val="008F61A0"/>
    <w:rsid w:val="008F658A"/>
    <w:rsid w:val="008F74FC"/>
    <w:rsid w:val="008F7D3F"/>
    <w:rsid w:val="00900670"/>
    <w:rsid w:val="00900887"/>
    <w:rsid w:val="009019D5"/>
    <w:rsid w:val="00902D1B"/>
    <w:rsid w:val="0090542D"/>
    <w:rsid w:val="00907B52"/>
    <w:rsid w:val="009100ED"/>
    <w:rsid w:val="00911ABD"/>
    <w:rsid w:val="00911E48"/>
    <w:rsid w:val="0091239D"/>
    <w:rsid w:val="00913873"/>
    <w:rsid w:val="00920506"/>
    <w:rsid w:val="00925421"/>
    <w:rsid w:val="00927ACE"/>
    <w:rsid w:val="009309E4"/>
    <w:rsid w:val="00935416"/>
    <w:rsid w:val="00942AAC"/>
    <w:rsid w:val="00942C1F"/>
    <w:rsid w:val="0094343A"/>
    <w:rsid w:val="00943551"/>
    <w:rsid w:val="009445D2"/>
    <w:rsid w:val="00944FAC"/>
    <w:rsid w:val="0094520A"/>
    <w:rsid w:val="0094635C"/>
    <w:rsid w:val="009472A2"/>
    <w:rsid w:val="00947A39"/>
    <w:rsid w:val="009513D1"/>
    <w:rsid w:val="00956E4A"/>
    <w:rsid w:val="00960905"/>
    <w:rsid w:val="0096090C"/>
    <w:rsid w:val="00960DEA"/>
    <w:rsid w:val="00963D28"/>
    <w:rsid w:val="00964141"/>
    <w:rsid w:val="00964254"/>
    <w:rsid w:val="0096430C"/>
    <w:rsid w:val="00966C85"/>
    <w:rsid w:val="009704B8"/>
    <w:rsid w:val="009705EA"/>
    <w:rsid w:val="0097131A"/>
    <w:rsid w:val="00974AA6"/>
    <w:rsid w:val="009755D4"/>
    <w:rsid w:val="00975B32"/>
    <w:rsid w:val="00976578"/>
    <w:rsid w:val="00981A85"/>
    <w:rsid w:val="00981F3D"/>
    <w:rsid w:val="00981F79"/>
    <w:rsid w:val="009828D0"/>
    <w:rsid w:val="00985582"/>
    <w:rsid w:val="009863B1"/>
    <w:rsid w:val="009875CB"/>
    <w:rsid w:val="00987714"/>
    <w:rsid w:val="00991030"/>
    <w:rsid w:val="00995038"/>
    <w:rsid w:val="00995931"/>
    <w:rsid w:val="00995A50"/>
    <w:rsid w:val="00995B95"/>
    <w:rsid w:val="0099645A"/>
    <w:rsid w:val="009A2117"/>
    <w:rsid w:val="009A346B"/>
    <w:rsid w:val="009A46E4"/>
    <w:rsid w:val="009A4AD9"/>
    <w:rsid w:val="009A6D50"/>
    <w:rsid w:val="009A7298"/>
    <w:rsid w:val="009B086E"/>
    <w:rsid w:val="009B1D3C"/>
    <w:rsid w:val="009B31FB"/>
    <w:rsid w:val="009B3CEC"/>
    <w:rsid w:val="009B53D1"/>
    <w:rsid w:val="009B56E7"/>
    <w:rsid w:val="009B7A11"/>
    <w:rsid w:val="009C048A"/>
    <w:rsid w:val="009C170E"/>
    <w:rsid w:val="009C5A9A"/>
    <w:rsid w:val="009C6EE4"/>
    <w:rsid w:val="009D0B2C"/>
    <w:rsid w:val="009D1B80"/>
    <w:rsid w:val="009D4960"/>
    <w:rsid w:val="009D649B"/>
    <w:rsid w:val="009E091E"/>
    <w:rsid w:val="009E18F1"/>
    <w:rsid w:val="009E4FB0"/>
    <w:rsid w:val="009F01C4"/>
    <w:rsid w:val="009F1BE9"/>
    <w:rsid w:val="009F2E3C"/>
    <w:rsid w:val="009F35BA"/>
    <w:rsid w:val="009F3755"/>
    <w:rsid w:val="009F3B69"/>
    <w:rsid w:val="009F3CC3"/>
    <w:rsid w:val="009F6263"/>
    <w:rsid w:val="009F75E6"/>
    <w:rsid w:val="009F7FD4"/>
    <w:rsid w:val="00A019A1"/>
    <w:rsid w:val="00A024D1"/>
    <w:rsid w:val="00A05526"/>
    <w:rsid w:val="00A055D6"/>
    <w:rsid w:val="00A062A2"/>
    <w:rsid w:val="00A0655E"/>
    <w:rsid w:val="00A0670F"/>
    <w:rsid w:val="00A06B07"/>
    <w:rsid w:val="00A07FF7"/>
    <w:rsid w:val="00A108C0"/>
    <w:rsid w:val="00A1091E"/>
    <w:rsid w:val="00A11201"/>
    <w:rsid w:val="00A11960"/>
    <w:rsid w:val="00A12037"/>
    <w:rsid w:val="00A12DF7"/>
    <w:rsid w:val="00A12E15"/>
    <w:rsid w:val="00A14811"/>
    <w:rsid w:val="00A14E35"/>
    <w:rsid w:val="00A1506F"/>
    <w:rsid w:val="00A17D5C"/>
    <w:rsid w:val="00A20ABE"/>
    <w:rsid w:val="00A23743"/>
    <w:rsid w:val="00A23AD8"/>
    <w:rsid w:val="00A24DAB"/>
    <w:rsid w:val="00A26D72"/>
    <w:rsid w:val="00A26FC9"/>
    <w:rsid w:val="00A27D20"/>
    <w:rsid w:val="00A302AF"/>
    <w:rsid w:val="00A30F67"/>
    <w:rsid w:val="00A31345"/>
    <w:rsid w:val="00A316D0"/>
    <w:rsid w:val="00A32828"/>
    <w:rsid w:val="00A32D20"/>
    <w:rsid w:val="00A32FEC"/>
    <w:rsid w:val="00A33971"/>
    <w:rsid w:val="00A3505A"/>
    <w:rsid w:val="00A353E2"/>
    <w:rsid w:val="00A35811"/>
    <w:rsid w:val="00A363C9"/>
    <w:rsid w:val="00A37B8F"/>
    <w:rsid w:val="00A37DE6"/>
    <w:rsid w:val="00A40042"/>
    <w:rsid w:val="00A41AE5"/>
    <w:rsid w:val="00A42EFA"/>
    <w:rsid w:val="00A4452B"/>
    <w:rsid w:val="00A44A9A"/>
    <w:rsid w:val="00A44FB7"/>
    <w:rsid w:val="00A4630A"/>
    <w:rsid w:val="00A47BC0"/>
    <w:rsid w:val="00A51D0F"/>
    <w:rsid w:val="00A533BB"/>
    <w:rsid w:val="00A54553"/>
    <w:rsid w:val="00A5553D"/>
    <w:rsid w:val="00A56697"/>
    <w:rsid w:val="00A60D4A"/>
    <w:rsid w:val="00A60FAC"/>
    <w:rsid w:val="00A61D81"/>
    <w:rsid w:val="00A66A21"/>
    <w:rsid w:val="00A67B97"/>
    <w:rsid w:val="00A705FB"/>
    <w:rsid w:val="00A712EE"/>
    <w:rsid w:val="00A730CB"/>
    <w:rsid w:val="00A73C00"/>
    <w:rsid w:val="00A75C2F"/>
    <w:rsid w:val="00A81045"/>
    <w:rsid w:val="00A81397"/>
    <w:rsid w:val="00A84886"/>
    <w:rsid w:val="00A84ECE"/>
    <w:rsid w:val="00A84FC9"/>
    <w:rsid w:val="00A8705F"/>
    <w:rsid w:val="00A91289"/>
    <w:rsid w:val="00A94F3F"/>
    <w:rsid w:val="00A95573"/>
    <w:rsid w:val="00A95A5F"/>
    <w:rsid w:val="00A97197"/>
    <w:rsid w:val="00A97E74"/>
    <w:rsid w:val="00AA1F7C"/>
    <w:rsid w:val="00AA2297"/>
    <w:rsid w:val="00AA4AB8"/>
    <w:rsid w:val="00AA57E1"/>
    <w:rsid w:val="00AA6F3D"/>
    <w:rsid w:val="00AA780A"/>
    <w:rsid w:val="00AB0CBA"/>
    <w:rsid w:val="00AB1E48"/>
    <w:rsid w:val="00AB24D4"/>
    <w:rsid w:val="00AB2A5F"/>
    <w:rsid w:val="00AB3BC9"/>
    <w:rsid w:val="00AB506A"/>
    <w:rsid w:val="00AB64DE"/>
    <w:rsid w:val="00AB6685"/>
    <w:rsid w:val="00AB6FB1"/>
    <w:rsid w:val="00AB770F"/>
    <w:rsid w:val="00AC1E32"/>
    <w:rsid w:val="00AC4304"/>
    <w:rsid w:val="00AC55D8"/>
    <w:rsid w:val="00AC5C72"/>
    <w:rsid w:val="00AC6161"/>
    <w:rsid w:val="00AC6D4C"/>
    <w:rsid w:val="00AC7CAE"/>
    <w:rsid w:val="00AD0E8A"/>
    <w:rsid w:val="00AD440C"/>
    <w:rsid w:val="00AD5375"/>
    <w:rsid w:val="00AD7950"/>
    <w:rsid w:val="00AD7D41"/>
    <w:rsid w:val="00AE1072"/>
    <w:rsid w:val="00AE2137"/>
    <w:rsid w:val="00AE32B1"/>
    <w:rsid w:val="00AE3CF4"/>
    <w:rsid w:val="00AE487B"/>
    <w:rsid w:val="00AE58B2"/>
    <w:rsid w:val="00AE7627"/>
    <w:rsid w:val="00AF57E8"/>
    <w:rsid w:val="00AF5DD4"/>
    <w:rsid w:val="00AF7712"/>
    <w:rsid w:val="00B00167"/>
    <w:rsid w:val="00B0092B"/>
    <w:rsid w:val="00B00FAF"/>
    <w:rsid w:val="00B0153B"/>
    <w:rsid w:val="00B034EB"/>
    <w:rsid w:val="00B03BC0"/>
    <w:rsid w:val="00B04E4A"/>
    <w:rsid w:val="00B05E8A"/>
    <w:rsid w:val="00B07E7C"/>
    <w:rsid w:val="00B10839"/>
    <w:rsid w:val="00B11465"/>
    <w:rsid w:val="00B123C4"/>
    <w:rsid w:val="00B12A44"/>
    <w:rsid w:val="00B13587"/>
    <w:rsid w:val="00B13752"/>
    <w:rsid w:val="00B14082"/>
    <w:rsid w:val="00B17DED"/>
    <w:rsid w:val="00B21BE6"/>
    <w:rsid w:val="00B21D04"/>
    <w:rsid w:val="00B25F9C"/>
    <w:rsid w:val="00B30835"/>
    <w:rsid w:val="00B311DE"/>
    <w:rsid w:val="00B333C0"/>
    <w:rsid w:val="00B34917"/>
    <w:rsid w:val="00B3530D"/>
    <w:rsid w:val="00B35CE7"/>
    <w:rsid w:val="00B36656"/>
    <w:rsid w:val="00B40711"/>
    <w:rsid w:val="00B4104B"/>
    <w:rsid w:val="00B457F5"/>
    <w:rsid w:val="00B465A6"/>
    <w:rsid w:val="00B47E99"/>
    <w:rsid w:val="00B50737"/>
    <w:rsid w:val="00B5161E"/>
    <w:rsid w:val="00B51BDA"/>
    <w:rsid w:val="00B527DC"/>
    <w:rsid w:val="00B5327E"/>
    <w:rsid w:val="00B54004"/>
    <w:rsid w:val="00B54CFE"/>
    <w:rsid w:val="00B54F38"/>
    <w:rsid w:val="00B55228"/>
    <w:rsid w:val="00B556D3"/>
    <w:rsid w:val="00B55B99"/>
    <w:rsid w:val="00B55C12"/>
    <w:rsid w:val="00B56D81"/>
    <w:rsid w:val="00B60A50"/>
    <w:rsid w:val="00B611B6"/>
    <w:rsid w:val="00B622F8"/>
    <w:rsid w:val="00B625ED"/>
    <w:rsid w:val="00B630D6"/>
    <w:rsid w:val="00B63129"/>
    <w:rsid w:val="00B64752"/>
    <w:rsid w:val="00B6489C"/>
    <w:rsid w:val="00B65485"/>
    <w:rsid w:val="00B6589C"/>
    <w:rsid w:val="00B65E38"/>
    <w:rsid w:val="00B662A0"/>
    <w:rsid w:val="00B75081"/>
    <w:rsid w:val="00B75434"/>
    <w:rsid w:val="00B76605"/>
    <w:rsid w:val="00B76C7B"/>
    <w:rsid w:val="00B77088"/>
    <w:rsid w:val="00B777C3"/>
    <w:rsid w:val="00B80882"/>
    <w:rsid w:val="00B80976"/>
    <w:rsid w:val="00B816A8"/>
    <w:rsid w:val="00B81795"/>
    <w:rsid w:val="00B82E5D"/>
    <w:rsid w:val="00B839C3"/>
    <w:rsid w:val="00B86D2D"/>
    <w:rsid w:val="00B86EAB"/>
    <w:rsid w:val="00B87472"/>
    <w:rsid w:val="00B87798"/>
    <w:rsid w:val="00B90A66"/>
    <w:rsid w:val="00B90B86"/>
    <w:rsid w:val="00B912CC"/>
    <w:rsid w:val="00B9191E"/>
    <w:rsid w:val="00B919E1"/>
    <w:rsid w:val="00B923C5"/>
    <w:rsid w:val="00B932D8"/>
    <w:rsid w:val="00B93D76"/>
    <w:rsid w:val="00B97901"/>
    <w:rsid w:val="00BA1107"/>
    <w:rsid w:val="00BA1656"/>
    <w:rsid w:val="00BA18B8"/>
    <w:rsid w:val="00BA1E38"/>
    <w:rsid w:val="00BA35F2"/>
    <w:rsid w:val="00BA4396"/>
    <w:rsid w:val="00BA44E8"/>
    <w:rsid w:val="00BA4CAE"/>
    <w:rsid w:val="00BA4EE4"/>
    <w:rsid w:val="00BA6ABF"/>
    <w:rsid w:val="00BA6B15"/>
    <w:rsid w:val="00BA7146"/>
    <w:rsid w:val="00BB19C6"/>
    <w:rsid w:val="00BB69FB"/>
    <w:rsid w:val="00BB7021"/>
    <w:rsid w:val="00BC1A5C"/>
    <w:rsid w:val="00BC2325"/>
    <w:rsid w:val="00BC60AB"/>
    <w:rsid w:val="00BC6139"/>
    <w:rsid w:val="00BC6CBA"/>
    <w:rsid w:val="00BC7096"/>
    <w:rsid w:val="00BC7504"/>
    <w:rsid w:val="00BD0AFC"/>
    <w:rsid w:val="00BD3994"/>
    <w:rsid w:val="00BD423B"/>
    <w:rsid w:val="00BD4B0C"/>
    <w:rsid w:val="00BD4C51"/>
    <w:rsid w:val="00BD4DEE"/>
    <w:rsid w:val="00BE1F48"/>
    <w:rsid w:val="00BE23A5"/>
    <w:rsid w:val="00BE2506"/>
    <w:rsid w:val="00BE274E"/>
    <w:rsid w:val="00BE3055"/>
    <w:rsid w:val="00BE372A"/>
    <w:rsid w:val="00BE6D9E"/>
    <w:rsid w:val="00BF0402"/>
    <w:rsid w:val="00BF1D39"/>
    <w:rsid w:val="00BF207F"/>
    <w:rsid w:val="00BF252F"/>
    <w:rsid w:val="00BF4432"/>
    <w:rsid w:val="00BF7163"/>
    <w:rsid w:val="00BF7549"/>
    <w:rsid w:val="00BF7B08"/>
    <w:rsid w:val="00C005F0"/>
    <w:rsid w:val="00C00863"/>
    <w:rsid w:val="00C01388"/>
    <w:rsid w:val="00C0139B"/>
    <w:rsid w:val="00C0153C"/>
    <w:rsid w:val="00C017A9"/>
    <w:rsid w:val="00C01F8E"/>
    <w:rsid w:val="00C03896"/>
    <w:rsid w:val="00C03DE4"/>
    <w:rsid w:val="00C07B4B"/>
    <w:rsid w:val="00C07C69"/>
    <w:rsid w:val="00C10325"/>
    <w:rsid w:val="00C145E9"/>
    <w:rsid w:val="00C15FCE"/>
    <w:rsid w:val="00C172B6"/>
    <w:rsid w:val="00C201AD"/>
    <w:rsid w:val="00C20A09"/>
    <w:rsid w:val="00C20BBB"/>
    <w:rsid w:val="00C22018"/>
    <w:rsid w:val="00C22A3D"/>
    <w:rsid w:val="00C246BF"/>
    <w:rsid w:val="00C25807"/>
    <w:rsid w:val="00C26D62"/>
    <w:rsid w:val="00C26F26"/>
    <w:rsid w:val="00C27E63"/>
    <w:rsid w:val="00C30FD5"/>
    <w:rsid w:val="00C3145E"/>
    <w:rsid w:val="00C31788"/>
    <w:rsid w:val="00C31F9E"/>
    <w:rsid w:val="00C3200F"/>
    <w:rsid w:val="00C329E1"/>
    <w:rsid w:val="00C33FBA"/>
    <w:rsid w:val="00C3418F"/>
    <w:rsid w:val="00C34E51"/>
    <w:rsid w:val="00C37E41"/>
    <w:rsid w:val="00C42623"/>
    <w:rsid w:val="00C4365A"/>
    <w:rsid w:val="00C453DE"/>
    <w:rsid w:val="00C4555B"/>
    <w:rsid w:val="00C45973"/>
    <w:rsid w:val="00C45C14"/>
    <w:rsid w:val="00C46562"/>
    <w:rsid w:val="00C4696A"/>
    <w:rsid w:val="00C4736B"/>
    <w:rsid w:val="00C5065A"/>
    <w:rsid w:val="00C528B3"/>
    <w:rsid w:val="00C535F6"/>
    <w:rsid w:val="00C55872"/>
    <w:rsid w:val="00C56918"/>
    <w:rsid w:val="00C61A7C"/>
    <w:rsid w:val="00C6254B"/>
    <w:rsid w:val="00C633B2"/>
    <w:rsid w:val="00C63975"/>
    <w:rsid w:val="00C65BCF"/>
    <w:rsid w:val="00C65DF3"/>
    <w:rsid w:val="00C6654E"/>
    <w:rsid w:val="00C701A5"/>
    <w:rsid w:val="00C7073B"/>
    <w:rsid w:val="00C73084"/>
    <w:rsid w:val="00C73D9C"/>
    <w:rsid w:val="00C74925"/>
    <w:rsid w:val="00C816DB"/>
    <w:rsid w:val="00C83DC0"/>
    <w:rsid w:val="00C84B74"/>
    <w:rsid w:val="00C86F17"/>
    <w:rsid w:val="00C90033"/>
    <w:rsid w:val="00C914D4"/>
    <w:rsid w:val="00C917B1"/>
    <w:rsid w:val="00C91A41"/>
    <w:rsid w:val="00C92029"/>
    <w:rsid w:val="00C93CBD"/>
    <w:rsid w:val="00C96188"/>
    <w:rsid w:val="00CA02C3"/>
    <w:rsid w:val="00CA07A7"/>
    <w:rsid w:val="00CA2E5D"/>
    <w:rsid w:val="00CA4EF4"/>
    <w:rsid w:val="00CA5F42"/>
    <w:rsid w:val="00CA6E6B"/>
    <w:rsid w:val="00CB0B47"/>
    <w:rsid w:val="00CB1D66"/>
    <w:rsid w:val="00CB1ECA"/>
    <w:rsid w:val="00CB58CD"/>
    <w:rsid w:val="00CB5AD2"/>
    <w:rsid w:val="00CB6779"/>
    <w:rsid w:val="00CB6F61"/>
    <w:rsid w:val="00CC0911"/>
    <w:rsid w:val="00CC09D1"/>
    <w:rsid w:val="00CC09D7"/>
    <w:rsid w:val="00CC1389"/>
    <w:rsid w:val="00CC268B"/>
    <w:rsid w:val="00CC5215"/>
    <w:rsid w:val="00CC58A5"/>
    <w:rsid w:val="00CC694D"/>
    <w:rsid w:val="00CC70D8"/>
    <w:rsid w:val="00CD08AE"/>
    <w:rsid w:val="00CD17AC"/>
    <w:rsid w:val="00CD1D9F"/>
    <w:rsid w:val="00CD26A8"/>
    <w:rsid w:val="00CD3B5B"/>
    <w:rsid w:val="00CD5E2C"/>
    <w:rsid w:val="00CD5F1E"/>
    <w:rsid w:val="00CD683F"/>
    <w:rsid w:val="00CD7068"/>
    <w:rsid w:val="00CE1B78"/>
    <w:rsid w:val="00CE3B28"/>
    <w:rsid w:val="00CE403C"/>
    <w:rsid w:val="00CE41C4"/>
    <w:rsid w:val="00CE4C8A"/>
    <w:rsid w:val="00CE52F6"/>
    <w:rsid w:val="00CE6D37"/>
    <w:rsid w:val="00CE7A1B"/>
    <w:rsid w:val="00CF03AA"/>
    <w:rsid w:val="00CF094D"/>
    <w:rsid w:val="00CF18DF"/>
    <w:rsid w:val="00CF1922"/>
    <w:rsid w:val="00CF2030"/>
    <w:rsid w:val="00CF259A"/>
    <w:rsid w:val="00CF2F13"/>
    <w:rsid w:val="00CF3AD3"/>
    <w:rsid w:val="00CF3C79"/>
    <w:rsid w:val="00CF58D4"/>
    <w:rsid w:val="00CF623D"/>
    <w:rsid w:val="00CF6797"/>
    <w:rsid w:val="00CF7E5A"/>
    <w:rsid w:val="00D00F2D"/>
    <w:rsid w:val="00D01778"/>
    <w:rsid w:val="00D04106"/>
    <w:rsid w:val="00D06AF5"/>
    <w:rsid w:val="00D06FBD"/>
    <w:rsid w:val="00D07F9B"/>
    <w:rsid w:val="00D10D74"/>
    <w:rsid w:val="00D12280"/>
    <w:rsid w:val="00D123E8"/>
    <w:rsid w:val="00D1674C"/>
    <w:rsid w:val="00D201F0"/>
    <w:rsid w:val="00D20D02"/>
    <w:rsid w:val="00D213FE"/>
    <w:rsid w:val="00D221FC"/>
    <w:rsid w:val="00D226EC"/>
    <w:rsid w:val="00D22AB7"/>
    <w:rsid w:val="00D22DB1"/>
    <w:rsid w:val="00D24570"/>
    <w:rsid w:val="00D25BAB"/>
    <w:rsid w:val="00D25C15"/>
    <w:rsid w:val="00D2677C"/>
    <w:rsid w:val="00D26781"/>
    <w:rsid w:val="00D27864"/>
    <w:rsid w:val="00D303F9"/>
    <w:rsid w:val="00D319BA"/>
    <w:rsid w:val="00D31BBA"/>
    <w:rsid w:val="00D32BE8"/>
    <w:rsid w:val="00D3369D"/>
    <w:rsid w:val="00D343BA"/>
    <w:rsid w:val="00D3444D"/>
    <w:rsid w:val="00D35BA7"/>
    <w:rsid w:val="00D37A7B"/>
    <w:rsid w:val="00D37CE9"/>
    <w:rsid w:val="00D4286C"/>
    <w:rsid w:val="00D437A6"/>
    <w:rsid w:val="00D43D86"/>
    <w:rsid w:val="00D447AD"/>
    <w:rsid w:val="00D47FD7"/>
    <w:rsid w:val="00D505E6"/>
    <w:rsid w:val="00D5137E"/>
    <w:rsid w:val="00D53681"/>
    <w:rsid w:val="00D546A8"/>
    <w:rsid w:val="00D554C8"/>
    <w:rsid w:val="00D56578"/>
    <w:rsid w:val="00D56D43"/>
    <w:rsid w:val="00D572E9"/>
    <w:rsid w:val="00D61216"/>
    <w:rsid w:val="00D62F4A"/>
    <w:rsid w:val="00D63E97"/>
    <w:rsid w:val="00D64249"/>
    <w:rsid w:val="00D658BB"/>
    <w:rsid w:val="00D659CA"/>
    <w:rsid w:val="00D660C7"/>
    <w:rsid w:val="00D66353"/>
    <w:rsid w:val="00D67FE1"/>
    <w:rsid w:val="00D72411"/>
    <w:rsid w:val="00D73872"/>
    <w:rsid w:val="00D759BA"/>
    <w:rsid w:val="00D760BA"/>
    <w:rsid w:val="00D76DFE"/>
    <w:rsid w:val="00D80E51"/>
    <w:rsid w:val="00D835B6"/>
    <w:rsid w:val="00D8365D"/>
    <w:rsid w:val="00D83F67"/>
    <w:rsid w:val="00D84108"/>
    <w:rsid w:val="00D86F70"/>
    <w:rsid w:val="00D87062"/>
    <w:rsid w:val="00D90EEE"/>
    <w:rsid w:val="00D91233"/>
    <w:rsid w:val="00D91CD6"/>
    <w:rsid w:val="00D928F7"/>
    <w:rsid w:val="00D92F8B"/>
    <w:rsid w:val="00D9319C"/>
    <w:rsid w:val="00D93BC8"/>
    <w:rsid w:val="00D942BA"/>
    <w:rsid w:val="00D9495D"/>
    <w:rsid w:val="00D94AB5"/>
    <w:rsid w:val="00DA05D3"/>
    <w:rsid w:val="00DA0707"/>
    <w:rsid w:val="00DA1E8F"/>
    <w:rsid w:val="00DA1E91"/>
    <w:rsid w:val="00DA2617"/>
    <w:rsid w:val="00DA2D5F"/>
    <w:rsid w:val="00DA2EB2"/>
    <w:rsid w:val="00DA38D7"/>
    <w:rsid w:val="00DA3B23"/>
    <w:rsid w:val="00DA4343"/>
    <w:rsid w:val="00DA497C"/>
    <w:rsid w:val="00DA50BE"/>
    <w:rsid w:val="00DA50D0"/>
    <w:rsid w:val="00DA5DC8"/>
    <w:rsid w:val="00DA6226"/>
    <w:rsid w:val="00DA6862"/>
    <w:rsid w:val="00DA6D87"/>
    <w:rsid w:val="00DB02FA"/>
    <w:rsid w:val="00DB08C5"/>
    <w:rsid w:val="00DB49D0"/>
    <w:rsid w:val="00DB4B69"/>
    <w:rsid w:val="00DB634A"/>
    <w:rsid w:val="00DB6AC4"/>
    <w:rsid w:val="00DB7282"/>
    <w:rsid w:val="00DB761E"/>
    <w:rsid w:val="00DB7980"/>
    <w:rsid w:val="00DB7D00"/>
    <w:rsid w:val="00DC1A22"/>
    <w:rsid w:val="00DC23E1"/>
    <w:rsid w:val="00DC25F4"/>
    <w:rsid w:val="00DC2B58"/>
    <w:rsid w:val="00DC3D0A"/>
    <w:rsid w:val="00DC4E6A"/>
    <w:rsid w:val="00DC6D9B"/>
    <w:rsid w:val="00DD002E"/>
    <w:rsid w:val="00DD0BD5"/>
    <w:rsid w:val="00DD3441"/>
    <w:rsid w:val="00DD39A7"/>
    <w:rsid w:val="00DD4DE8"/>
    <w:rsid w:val="00DD5EC0"/>
    <w:rsid w:val="00DD66BF"/>
    <w:rsid w:val="00DD7168"/>
    <w:rsid w:val="00DE0144"/>
    <w:rsid w:val="00DE056E"/>
    <w:rsid w:val="00DE163A"/>
    <w:rsid w:val="00DE2DD7"/>
    <w:rsid w:val="00DE5231"/>
    <w:rsid w:val="00DE74F0"/>
    <w:rsid w:val="00DF0828"/>
    <w:rsid w:val="00DF0AF7"/>
    <w:rsid w:val="00DF1487"/>
    <w:rsid w:val="00DF1DFC"/>
    <w:rsid w:val="00DF2659"/>
    <w:rsid w:val="00DF2DF6"/>
    <w:rsid w:val="00DF448A"/>
    <w:rsid w:val="00DF51BB"/>
    <w:rsid w:val="00DF746C"/>
    <w:rsid w:val="00DF7652"/>
    <w:rsid w:val="00E02748"/>
    <w:rsid w:val="00E046B5"/>
    <w:rsid w:val="00E04B1B"/>
    <w:rsid w:val="00E052C0"/>
    <w:rsid w:val="00E06860"/>
    <w:rsid w:val="00E069DC"/>
    <w:rsid w:val="00E07A97"/>
    <w:rsid w:val="00E07D11"/>
    <w:rsid w:val="00E07DF6"/>
    <w:rsid w:val="00E10C29"/>
    <w:rsid w:val="00E10CFF"/>
    <w:rsid w:val="00E12F91"/>
    <w:rsid w:val="00E13896"/>
    <w:rsid w:val="00E139D8"/>
    <w:rsid w:val="00E13BD8"/>
    <w:rsid w:val="00E13E98"/>
    <w:rsid w:val="00E15A1E"/>
    <w:rsid w:val="00E1649F"/>
    <w:rsid w:val="00E20351"/>
    <w:rsid w:val="00E20FA2"/>
    <w:rsid w:val="00E2359F"/>
    <w:rsid w:val="00E236B9"/>
    <w:rsid w:val="00E2414B"/>
    <w:rsid w:val="00E2418C"/>
    <w:rsid w:val="00E2534D"/>
    <w:rsid w:val="00E275A2"/>
    <w:rsid w:val="00E31FD2"/>
    <w:rsid w:val="00E32532"/>
    <w:rsid w:val="00E34111"/>
    <w:rsid w:val="00E343BF"/>
    <w:rsid w:val="00E35101"/>
    <w:rsid w:val="00E36054"/>
    <w:rsid w:val="00E366AE"/>
    <w:rsid w:val="00E42DDE"/>
    <w:rsid w:val="00E43DDD"/>
    <w:rsid w:val="00E4508B"/>
    <w:rsid w:val="00E461D5"/>
    <w:rsid w:val="00E46940"/>
    <w:rsid w:val="00E47E7F"/>
    <w:rsid w:val="00E50127"/>
    <w:rsid w:val="00E50543"/>
    <w:rsid w:val="00E50C5B"/>
    <w:rsid w:val="00E52234"/>
    <w:rsid w:val="00E5352C"/>
    <w:rsid w:val="00E539B5"/>
    <w:rsid w:val="00E54D72"/>
    <w:rsid w:val="00E6010C"/>
    <w:rsid w:val="00E60134"/>
    <w:rsid w:val="00E601F2"/>
    <w:rsid w:val="00E61C4F"/>
    <w:rsid w:val="00E62F89"/>
    <w:rsid w:val="00E635BF"/>
    <w:rsid w:val="00E63908"/>
    <w:rsid w:val="00E63DC2"/>
    <w:rsid w:val="00E64F26"/>
    <w:rsid w:val="00E660D0"/>
    <w:rsid w:val="00E668F2"/>
    <w:rsid w:val="00E66D29"/>
    <w:rsid w:val="00E679B4"/>
    <w:rsid w:val="00E70B9C"/>
    <w:rsid w:val="00E710DF"/>
    <w:rsid w:val="00E7137D"/>
    <w:rsid w:val="00E71439"/>
    <w:rsid w:val="00E71C9B"/>
    <w:rsid w:val="00E71CE2"/>
    <w:rsid w:val="00E71D41"/>
    <w:rsid w:val="00E71D80"/>
    <w:rsid w:val="00E73130"/>
    <w:rsid w:val="00E7366C"/>
    <w:rsid w:val="00E7416B"/>
    <w:rsid w:val="00E756B1"/>
    <w:rsid w:val="00E769BE"/>
    <w:rsid w:val="00E77745"/>
    <w:rsid w:val="00E77A47"/>
    <w:rsid w:val="00E77DA4"/>
    <w:rsid w:val="00E80D71"/>
    <w:rsid w:val="00E83DB6"/>
    <w:rsid w:val="00E85BFD"/>
    <w:rsid w:val="00E867C3"/>
    <w:rsid w:val="00E8723A"/>
    <w:rsid w:val="00E87D56"/>
    <w:rsid w:val="00E913FF"/>
    <w:rsid w:val="00E92DEB"/>
    <w:rsid w:val="00E93DD1"/>
    <w:rsid w:val="00E9405F"/>
    <w:rsid w:val="00E95D03"/>
    <w:rsid w:val="00E9678F"/>
    <w:rsid w:val="00E97D5D"/>
    <w:rsid w:val="00EA032F"/>
    <w:rsid w:val="00EA3A49"/>
    <w:rsid w:val="00EA3BC0"/>
    <w:rsid w:val="00EA4F1C"/>
    <w:rsid w:val="00EA7F6D"/>
    <w:rsid w:val="00EB0A3E"/>
    <w:rsid w:val="00EB10BB"/>
    <w:rsid w:val="00EB1409"/>
    <w:rsid w:val="00EB3226"/>
    <w:rsid w:val="00EB3CC9"/>
    <w:rsid w:val="00EB771E"/>
    <w:rsid w:val="00EC0FAA"/>
    <w:rsid w:val="00EC1AFF"/>
    <w:rsid w:val="00EC1C2A"/>
    <w:rsid w:val="00EC278D"/>
    <w:rsid w:val="00EC4224"/>
    <w:rsid w:val="00EC4808"/>
    <w:rsid w:val="00EC4BC0"/>
    <w:rsid w:val="00EC6071"/>
    <w:rsid w:val="00EC73DF"/>
    <w:rsid w:val="00EC75A2"/>
    <w:rsid w:val="00ED1B9E"/>
    <w:rsid w:val="00ED1E31"/>
    <w:rsid w:val="00ED2831"/>
    <w:rsid w:val="00ED2EAB"/>
    <w:rsid w:val="00ED3898"/>
    <w:rsid w:val="00ED3B57"/>
    <w:rsid w:val="00ED5474"/>
    <w:rsid w:val="00ED5AAA"/>
    <w:rsid w:val="00ED68C4"/>
    <w:rsid w:val="00ED6F3A"/>
    <w:rsid w:val="00ED7B9F"/>
    <w:rsid w:val="00EE069B"/>
    <w:rsid w:val="00EE3F7E"/>
    <w:rsid w:val="00EE7226"/>
    <w:rsid w:val="00EF0826"/>
    <w:rsid w:val="00EF1A18"/>
    <w:rsid w:val="00EF3073"/>
    <w:rsid w:val="00EF3D12"/>
    <w:rsid w:val="00EF5660"/>
    <w:rsid w:val="00EF5916"/>
    <w:rsid w:val="00EF6029"/>
    <w:rsid w:val="00EF62B7"/>
    <w:rsid w:val="00EF6A57"/>
    <w:rsid w:val="00EF745E"/>
    <w:rsid w:val="00F000E3"/>
    <w:rsid w:val="00F05181"/>
    <w:rsid w:val="00F06789"/>
    <w:rsid w:val="00F12BE9"/>
    <w:rsid w:val="00F12EEC"/>
    <w:rsid w:val="00F133FB"/>
    <w:rsid w:val="00F15299"/>
    <w:rsid w:val="00F15B8A"/>
    <w:rsid w:val="00F162F3"/>
    <w:rsid w:val="00F16E0E"/>
    <w:rsid w:val="00F16FB2"/>
    <w:rsid w:val="00F21023"/>
    <w:rsid w:val="00F21568"/>
    <w:rsid w:val="00F216A1"/>
    <w:rsid w:val="00F2184F"/>
    <w:rsid w:val="00F21B60"/>
    <w:rsid w:val="00F23AF7"/>
    <w:rsid w:val="00F2649A"/>
    <w:rsid w:val="00F3067C"/>
    <w:rsid w:val="00F3218F"/>
    <w:rsid w:val="00F33B1F"/>
    <w:rsid w:val="00F340B4"/>
    <w:rsid w:val="00F356AD"/>
    <w:rsid w:val="00F35B75"/>
    <w:rsid w:val="00F363E7"/>
    <w:rsid w:val="00F37801"/>
    <w:rsid w:val="00F40671"/>
    <w:rsid w:val="00F40DA1"/>
    <w:rsid w:val="00F41502"/>
    <w:rsid w:val="00F42C33"/>
    <w:rsid w:val="00F438E5"/>
    <w:rsid w:val="00F448BA"/>
    <w:rsid w:val="00F44E2C"/>
    <w:rsid w:val="00F44FC9"/>
    <w:rsid w:val="00F45624"/>
    <w:rsid w:val="00F501A5"/>
    <w:rsid w:val="00F519A3"/>
    <w:rsid w:val="00F5267E"/>
    <w:rsid w:val="00F53951"/>
    <w:rsid w:val="00F53B26"/>
    <w:rsid w:val="00F54C9E"/>
    <w:rsid w:val="00F55472"/>
    <w:rsid w:val="00F5587B"/>
    <w:rsid w:val="00F561A6"/>
    <w:rsid w:val="00F56E02"/>
    <w:rsid w:val="00F579BC"/>
    <w:rsid w:val="00F60CA0"/>
    <w:rsid w:val="00F62DAA"/>
    <w:rsid w:val="00F65330"/>
    <w:rsid w:val="00F658F5"/>
    <w:rsid w:val="00F6796E"/>
    <w:rsid w:val="00F67A6C"/>
    <w:rsid w:val="00F67D64"/>
    <w:rsid w:val="00F70ACA"/>
    <w:rsid w:val="00F72360"/>
    <w:rsid w:val="00F73DB6"/>
    <w:rsid w:val="00F74453"/>
    <w:rsid w:val="00F75457"/>
    <w:rsid w:val="00F7599A"/>
    <w:rsid w:val="00F77649"/>
    <w:rsid w:val="00F80315"/>
    <w:rsid w:val="00F817A1"/>
    <w:rsid w:val="00F81A45"/>
    <w:rsid w:val="00F8314C"/>
    <w:rsid w:val="00F832AA"/>
    <w:rsid w:val="00F84184"/>
    <w:rsid w:val="00F841A6"/>
    <w:rsid w:val="00F843B4"/>
    <w:rsid w:val="00F8611E"/>
    <w:rsid w:val="00F864BF"/>
    <w:rsid w:val="00F86AA1"/>
    <w:rsid w:val="00F876BE"/>
    <w:rsid w:val="00F909E6"/>
    <w:rsid w:val="00F90B7F"/>
    <w:rsid w:val="00F91129"/>
    <w:rsid w:val="00F91BA6"/>
    <w:rsid w:val="00F91D5E"/>
    <w:rsid w:val="00F92723"/>
    <w:rsid w:val="00F93D71"/>
    <w:rsid w:val="00F94FFC"/>
    <w:rsid w:val="00F953D3"/>
    <w:rsid w:val="00F97626"/>
    <w:rsid w:val="00F97919"/>
    <w:rsid w:val="00F97AFB"/>
    <w:rsid w:val="00FA30E4"/>
    <w:rsid w:val="00FA4730"/>
    <w:rsid w:val="00FA475A"/>
    <w:rsid w:val="00FA49DF"/>
    <w:rsid w:val="00FA53DB"/>
    <w:rsid w:val="00FA6D4A"/>
    <w:rsid w:val="00FA769F"/>
    <w:rsid w:val="00FA77A4"/>
    <w:rsid w:val="00FB02D3"/>
    <w:rsid w:val="00FB078E"/>
    <w:rsid w:val="00FB0F21"/>
    <w:rsid w:val="00FB1C01"/>
    <w:rsid w:val="00FB36CC"/>
    <w:rsid w:val="00FB45F7"/>
    <w:rsid w:val="00FB5028"/>
    <w:rsid w:val="00FB63A3"/>
    <w:rsid w:val="00FB6FFA"/>
    <w:rsid w:val="00FC3C54"/>
    <w:rsid w:val="00FC757F"/>
    <w:rsid w:val="00FC786B"/>
    <w:rsid w:val="00FC7BAB"/>
    <w:rsid w:val="00FD0AA3"/>
    <w:rsid w:val="00FD2431"/>
    <w:rsid w:val="00FD36CB"/>
    <w:rsid w:val="00FD56D5"/>
    <w:rsid w:val="00FD56FF"/>
    <w:rsid w:val="00FD5A9F"/>
    <w:rsid w:val="00FD5E2A"/>
    <w:rsid w:val="00FD6365"/>
    <w:rsid w:val="00FD674C"/>
    <w:rsid w:val="00FD722F"/>
    <w:rsid w:val="00FD73EB"/>
    <w:rsid w:val="00FE2028"/>
    <w:rsid w:val="00FE2513"/>
    <w:rsid w:val="00FE2639"/>
    <w:rsid w:val="00FE2AB4"/>
    <w:rsid w:val="00FE3908"/>
    <w:rsid w:val="00FE4146"/>
    <w:rsid w:val="00FE4331"/>
    <w:rsid w:val="00FE4FF8"/>
    <w:rsid w:val="00FE5087"/>
    <w:rsid w:val="00FF098F"/>
    <w:rsid w:val="00FF246C"/>
    <w:rsid w:val="00FF5D6A"/>
    <w:rsid w:val="00FF6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891b52"/>
      <o:colormenu v:ext="edit" fillcolor="none" strokecolor="none"/>
    </o:shapedefaults>
    <o:shapelayout v:ext="edit">
      <o:idmap v:ext="edit" data="1"/>
    </o:shapelayout>
  </w:shapeDefaults>
  <w:decimalSymbol w:val="."/>
  <w:listSeparator w:val=","/>
  <w14:docId w14:val="4429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pt-BR"/>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3CBD"/>
    <w:pPr>
      <w:spacing w:line="360" w:lineRule="auto"/>
    </w:pPr>
    <w:rPr>
      <w:rFonts w:ascii="Arial" w:hAnsi="Arial"/>
      <w:sz w:val="22"/>
      <w:szCs w:val="24"/>
    </w:rPr>
  </w:style>
  <w:style w:type="paragraph" w:styleId="Heading1">
    <w:name w:val="heading 1"/>
    <w:basedOn w:val="Normal"/>
    <w:next w:val="Normal"/>
    <w:link w:val="Heading1Char"/>
    <w:uiPriority w:val="99"/>
    <w:qFormat/>
    <w:rsid w:val="00900670"/>
    <w:pPr>
      <w:keepNext/>
      <w:tabs>
        <w:tab w:val="left" w:pos="425"/>
      </w:tabs>
      <w:spacing w:before="240" w:after="60"/>
      <w:ind w:left="431" w:hanging="431"/>
      <w:outlineLvl w:val="0"/>
    </w:pPr>
    <w:rPr>
      <w:b/>
      <w:kern w:val="32"/>
      <w:szCs w:val="20"/>
    </w:rPr>
  </w:style>
  <w:style w:type="paragraph" w:styleId="Heading2">
    <w:name w:val="heading 2"/>
    <w:basedOn w:val="Normal"/>
    <w:next w:val="Normal"/>
    <w:link w:val="Heading2Char"/>
    <w:uiPriority w:val="99"/>
    <w:qFormat/>
    <w:rsid w:val="006232D1"/>
    <w:pPr>
      <w:keepNext/>
      <w:spacing w:before="120" w:after="60"/>
      <w:outlineLvl w:val="1"/>
    </w:pPr>
    <w:rPr>
      <w:b/>
      <w:i/>
      <w:szCs w:val="20"/>
    </w:rPr>
  </w:style>
  <w:style w:type="paragraph" w:styleId="Heading3">
    <w:name w:val="heading 3"/>
    <w:basedOn w:val="Normal"/>
    <w:next w:val="Normal"/>
    <w:link w:val="Heading3Char"/>
    <w:uiPriority w:val="99"/>
    <w:qFormat/>
    <w:rsid w:val="008C7AAA"/>
    <w:pPr>
      <w:keepNext/>
      <w:spacing w:before="240" w:after="60"/>
      <w:outlineLvl w:val="2"/>
    </w:pPr>
    <w:rPr>
      <w:i/>
      <w:szCs w:val="20"/>
    </w:rPr>
  </w:style>
  <w:style w:type="paragraph" w:styleId="Heading4">
    <w:name w:val="heading 4"/>
    <w:basedOn w:val="Normal"/>
    <w:next w:val="Normal"/>
    <w:link w:val="Heading4Char"/>
    <w:uiPriority w:val="99"/>
    <w:qFormat/>
    <w:rsid w:val="00096B88"/>
    <w:pPr>
      <w:keepNext/>
      <w:numPr>
        <w:ilvl w:val="3"/>
        <w:numId w:val="1"/>
      </w:numPr>
      <w:spacing w:before="240" w:after="60"/>
      <w:outlineLvl w:val="3"/>
    </w:pPr>
    <w:rPr>
      <w:b/>
      <w:sz w:val="28"/>
      <w:szCs w:val="20"/>
    </w:rPr>
  </w:style>
  <w:style w:type="paragraph" w:styleId="Heading5">
    <w:name w:val="heading 5"/>
    <w:basedOn w:val="Normal"/>
    <w:next w:val="Normal"/>
    <w:link w:val="Heading5Char"/>
    <w:uiPriority w:val="99"/>
    <w:qFormat/>
    <w:rsid w:val="00096B88"/>
    <w:pPr>
      <w:numPr>
        <w:ilvl w:val="4"/>
        <w:numId w:val="1"/>
      </w:numPr>
      <w:spacing w:before="240" w:after="60"/>
      <w:outlineLvl w:val="4"/>
    </w:pPr>
    <w:rPr>
      <w:b/>
      <w:i/>
      <w:sz w:val="26"/>
      <w:szCs w:val="20"/>
    </w:rPr>
  </w:style>
  <w:style w:type="paragraph" w:styleId="Heading6">
    <w:name w:val="heading 6"/>
    <w:basedOn w:val="Normal"/>
    <w:next w:val="Normal"/>
    <w:link w:val="Heading6Char"/>
    <w:uiPriority w:val="99"/>
    <w:qFormat/>
    <w:rsid w:val="00096B88"/>
    <w:pPr>
      <w:numPr>
        <w:ilvl w:val="5"/>
        <w:numId w:val="1"/>
      </w:numPr>
      <w:spacing w:before="240" w:after="60"/>
      <w:outlineLvl w:val="5"/>
    </w:pPr>
    <w:rPr>
      <w:b/>
      <w:szCs w:val="20"/>
    </w:rPr>
  </w:style>
  <w:style w:type="paragraph" w:styleId="Heading7">
    <w:name w:val="heading 7"/>
    <w:basedOn w:val="Normal"/>
    <w:next w:val="Normal"/>
    <w:link w:val="Heading7Char"/>
    <w:uiPriority w:val="99"/>
    <w:qFormat/>
    <w:rsid w:val="00096B88"/>
    <w:pPr>
      <w:numPr>
        <w:ilvl w:val="6"/>
        <w:numId w:val="1"/>
      </w:numPr>
      <w:spacing w:before="240" w:after="60"/>
      <w:outlineLvl w:val="6"/>
    </w:pPr>
    <w:rPr>
      <w:szCs w:val="20"/>
    </w:rPr>
  </w:style>
  <w:style w:type="paragraph" w:styleId="Heading8">
    <w:name w:val="heading 8"/>
    <w:basedOn w:val="Normal"/>
    <w:next w:val="Normal"/>
    <w:link w:val="Heading8Char"/>
    <w:uiPriority w:val="99"/>
    <w:qFormat/>
    <w:rsid w:val="00096B88"/>
    <w:pPr>
      <w:numPr>
        <w:ilvl w:val="7"/>
        <w:numId w:val="1"/>
      </w:numPr>
      <w:spacing w:before="240" w:after="60"/>
      <w:outlineLvl w:val="7"/>
    </w:pPr>
    <w:rPr>
      <w:i/>
      <w:szCs w:val="20"/>
    </w:rPr>
  </w:style>
  <w:style w:type="paragraph" w:styleId="Heading9">
    <w:name w:val="heading 9"/>
    <w:basedOn w:val="Normal"/>
    <w:next w:val="Normal"/>
    <w:link w:val="Heading9Char"/>
    <w:uiPriority w:val="99"/>
    <w:qFormat/>
    <w:rsid w:val="00096B88"/>
    <w:pPr>
      <w:numPr>
        <w:ilvl w:val="8"/>
        <w:numId w:val="1"/>
      </w:numPr>
      <w:spacing w:before="240" w:after="60"/>
      <w:outlineLvl w:val="8"/>
    </w:pPr>
    <w:rPr>
      <w:rFonts w:ascii="Helvetica" w:hAnsi="Helvetic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6DD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06DD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06DD2"/>
    <w:rPr>
      <w:rFonts w:ascii="Cambria" w:eastAsia="Times New Roman" w:hAnsi="Cambria" w:cs="Times New Roman"/>
      <w:b/>
      <w:bCs/>
      <w:sz w:val="26"/>
      <w:szCs w:val="26"/>
    </w:rPr>
  </w:style>
  <w:style w:type="character" w:customStyle="1" w:styleId="Heading4Char">
    <w:name w:val="Heading 4 Char"/>
    <w:link w:val="Heading4"/>
    <w:uiPriority w:val="99"/>
    <w:rsid w:val="00406DD2"/>
    <w:rPr>
      <w:rFonts w:ascii="Arial" w:hAnsi="Arial"/>
      <w:b/>
      <w:sz w:val="28"/>
      <w:lang w:eastAsia="pt-BR"/>
    </w:rPr>
  </w:style>
  <w:style w:type="character" w:customStyle="1" w:styleId="Heading5Char">
    <w:name w:val="Heading 5 Char"/>
    <w:link w:val="Heading5"/>
    <w:uiPriority w:val="99"/>
    <w:rsid w:val="00406DD2"/>
    <w:rPr>
      <w:rFonts w:ascii="Arial" w:hAnsi="Arial"/>
      <w:b/>
      <w:i/>
      <w:sz w:val="26"/>
      <w:lang w:eastAsia="pt-BR"/>
    </w:rPr>
  </w:style>
  <w:style w:type="character" w:customStyle="1" w:styleId="Heading6Char">
    <w:name w:val="Heading 6 Char"/>
    <w:link w:val="Heading6"/>
    <w:uiPriority w:val="99"/>
    <w:rsid w:val="00406DD2"/>
    <w:rPr>
      <w:rFonts w:ascii="Arial" w:hAnsi="Arial"/>
      <w:b/>
      <w:sz w:val="22"/>
      <w:lang w:eastAsia="pt-BR"/>
    </w:rPr>
  </w:style>
  <w:style w:type="character" w:customStyle="1" w:styleId="Heading7Char">
    <w:name w:val="Heading 7 Char"/>
    <w:link w:val="Heading7"/>
    <w:uiPriority w:val="99"/>
    <w:rsid w:val="00406DD2"/>
    <w:rPr>
      <w:rFonts w:ascii="Arial" w:hAnsi="Arial"/>
      <w:sz w:val="22"/>
      <w:lang w:eastAsia="pt-BR"/>
    </w:rPr>
  </w:style>
  <w:style w:type="character" w:customStyle="1" w:styleId="Heading8Char">
    <w:name w:val="Heading 8 Char"/>
    <w:link w:val="Heading8"/>
    <w:uiPriority w:val="99"/>
    <w:rsid w:val="00406DD2"/>
    <w:rPr>
      <w:rFonts w:ascii="Arial" w:hAnsi="Arial"/>
      <w:i/>
      <w:sz w:val="22"/>
      <w:lang w:eastAsia="pt-BR"/>
    </w:rPr>
  </w:style>
  <w:style w:type="character" w:customStyle="1" w:styleId="Heading9Char">
    <w:name w:val="Heading 9 Char"/>
    <w:link w:val="Heading9"/>
    <w:uiPriority w:val="99"/>
    <w:rsid w:val="00406DD2"/>
    <w:rPr>
      <w:rFonts w:ascii="Helvetica" w:hAnsi="Helvetica"/>
      <w:sz w:val="22"/>
      <w:lang w:eastAsia="pt-BR"/>
    </w:rPr>
  </w:style>
  <w:style w:type="paragraph" w:customStyle="1" w:styleId="Default">
    <w:name w:val="Default"/>
    <w:uiPriority w:val="99"/>
    <w:rsid w:val="001D4451"/>
    <w:pPr>
      <w:autoSpaceDE w:val="0"/>
      <w:autoSpaceDN w:val="0"/>
      <w:adjustRightInd w:val="0"/>
    </w:pPr>
    <w:rPr>
      <w:rFonts w:ascii="Tahoma" w:hAnsi="Tahoma" w:cs="Tahoma"/>
      <w:color w:val="000000"/>
      <w:sz w:val="24"/>
      <w:szCs w:val="24"/>
    </w:rPr>
  </w:style>
  <w:style w:type="character" w:styleId="Hyperlink">
    <w:name w:val="Hyperlink"/>
    <w:uiPriority w:val="99"/>
    <w:rsid w:val="001D14DC"/>
    <w:rPr>
      <w:rFonts w:cs="Times New Roman"/>
      <w:color w:val="0000FF"/>
      <w:u w:val="single"/>
    </w:rPr>
  </w:style>
  <w:style w:type="table" w:styleId="TableGrid">
    <w:name w:val="Table Grid"/>
    <w:basedOn w:val="TableNormal"/>
    <w:uiPriority w:val="99"/>
    <w:rsid w:val="000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092E00"/>
    <w:rPr>
      <w:color w:val="0000FF"/>
      <w:szCs w:val="20"/>
    </w:rPr>
  </w:style>
  <w:style w:type="character" w:customStyle="1" w:styleId="BodyText2Char">
    <w:name w:val="Body Text 2 Char"/>
    <w:link w:val="BodyText2"/>
    <w:uiPriority w:val="99"/>
    <w:semiHidden/>
    <w:rsid w:val="00406DD2"/>
    <w:rPr>
      <w:rFonts w:ascii="Arial" w:hAnsi="Arial"/>
      <w:sz w:val="24"/>
      <w:szCs w:val="24"/>
    </w:rPr>
  </w:style>
  <w:style w:type="paragraph" w:styleId="Header">
    <w:name w:val="header"/>
    <w:basedOn w:val="Normal"/>
    <w:link w:val="HeaderChar"/>
    <w:uiPriority w:val="99"/>
    <w:rsid w:val="00092E00"/>
    <w:pPr>
      <w:tabs>
        <w:tab w:val="center" w:pos="4153"/>
        <w:tab w:val="right" w:pos="8306"/>
      </w:tabs>
    </w:pPr>
  </w:style>
  <w:style w:type="character" w:customStyle="1" w:styleId="HeaderChar">
    <w:name w:val="Header Char"/>
    <w:link w:val="Header"/>
    <w:uiPriority w:val="99"/>
    <w:rsid w:val="00406DD2"/>
    <w:rPr>
      <w:rFonts w:ascii="Arial" w:hAnsi="Arial"/>
      <w:sz w:val="24"/>
      <w:szCs w:val="24"/>
    </w:rPr>
  </w:style>
  <w:style w:type="paragraph" w:styleId="Footer">
    <w:name w:val="footer"/>
    <w:basedOn w:val="Normal"/>
    <w:link w:val="FooterChar"/>
    <w:uiPriority w:val="99"/>
    <w:rsid w:val="00092E00"/>
    <w:pPr>
      <w:tabs>
        <w:tab w:val="center" w:pos="4153"/>
        <w:tab w:val="right" w:pos="8306"/>
      </w:tabs>
    </w:pPr>
  </w:style>
  <w:style w:type="character" w:customStyle="1" w:styleId="FooterChar">
    <w:name w:val="Footer Char"/>
    <w:link w:val="Footer"/>
    <w:uiPriority w:val="99"/>
    <w:rsid w:val="00406DD2"/>
    <w:rPr>
      <w:rFonts w:ascii="Arial" w:hAnsi="Arial"/>
      <w:sz w:val="24"/>
      <w:szCs w:val="24"/>
    </w:rPr>
  </w:style>
  <w:style w:type="paragraph" w:styleId="BalloonText">
    <w:name w:val="Balloon Text"/>
    <w:basedOn w:val="Normal"/>
    <w:link w:val="BalloonTextChar"/>
    <w:uiPriority w:val="99"/>
    <w:semiHidden/>
    <w:rsid w:val="005C7FE8"/>
    <w:rPr>
      <w:rFonts w:ascii="Tahoma" w:hAnsi="Tahoma" w:cs="Tahoma"/>
      <w:sz w:val="16"/>
      <w:szCs w:val="16"/>
    </w:rPr>
  </w:style>
  <w:style w:type="character" w:customStyle="1" w:styleId="BalloonTextChar">
    <w:name w:val="Balloon Text Char"/>
    <w:link w:val="BalloonText"/>
    <w:uiPriority w:val="99"/>
    <w:semiHidden/>
    <w:rsid w:val="00406DD2"/>
    <w:rPr>
      <w:sz w:val="0"/>
      <w:szCs w:val="0"/>
    </w:rPr>
  </w:style>
  <w:style w:type="paragraph" w:customStyle="1" w:styleId="default0">
    <w:name w:val="default"/>
    <w:basedOn w:val="Normal"/>
    <w:uiPriority w:val="99"/>
    <w:rsid w:val="00096B88"/>
    <w:pPr>
      <w:spacing w:before="100" w:beforeAutospacing="1" w:after="100" w:afterAutospacing="1"/>
    </w:pPr>
  </w:style>
  <w:style w:type="character" w:styleId="CommentReference">
    <w:name w:val="annotation reference"/>
    <w:uiPriority w:val="99"/>
    <w:semiHidden/>
    <w:rsid w:val="0066260E"/>
    <w:rPr>
      <w:rFonts w:cs="Times New Roman"/>
      <w:sz w:val="16"/>
    </w:rPr>
  </w:style>
  <w:style w:type="paragraph" w:styleId="CommentText">
    <w:name w:val="annotation text"/>
    <w:basedOn w:val="Normal"/>
    <w:link w:val="CommentTextChar"/>
    <w:uiPriority w:val="99"/>
    <w:semiHidden/>
    <w:rsid w:val="0066260E"/>
    <w:rPr>
      <w:sz w:val="20"/>
      <w:szCs w:val="20"/>
    </w:rPr>
  </w:style>
  <w:style w:type="character" w:customStyle="1" w:styleId="CommentTextChar">
    <w:name w:val="Comment Text Char"/>
    <w:link w:val="CommentText"/>
    <w:uiPriority w:val="99"/>
    <w:semiHidden/>
    <w:rsid w:val="00406DD2"/>
    <w:rPr>
      <w:rFonts w:ascii="Arial" w:hAnsi="Arial"/>
      <w:sz w:val="20"/>
      <w:szCs w:val="20"/>
    </w:rPr>
  </w:style>
  <w:style w:type="paragraph" w:styleId="CommentSubject">
    <w:name w:val="annotation subject"/>
    <w:basedOn w:val="CommentText"/>
    <w:next w:val="CommentText"/>
    <w:link w:val="CommentSubjectChar"/>
    <w:uiPriority w:val="99"/>
    <w:semiHidden/>
    <w:rsid w:val="0066260E"/>
    <w:rPr>
      <w:b/>
      <w:bCs/>
    </w:rPr>
  </w:style>
  <w:style w:type="character" w:customStyle="1" w:styleId="CommentSubjectChar">
    <w:name w:val="Comment Subject Char"/>
    <w:link w:val="CommentSubject"/>
    <w:uiPriority w:val="99"/>
    <w:semiHidden/>
    <w:rsid w:val="00406DD2"/>
    <w:rPr>
      <w:rFonts w:ascii="Arial" w:hAnsi="Arial"/>
      <w:b/>
      <w:bCs/>
      <w:sz w:val="20"/>
      <w:szCs w:val="20"/>
    </w:rPr>
  </w:style>
  <w:style w:type="paragraph" w:styleId="TOC2">
    <w:name w:val="toc 2"/>
    <w:basedOn w:val="Normal"/>
    <w:next w:val="Normal"/>
    <w:autoRedefine/>
    <w:uiPriority w:val="99"/>
    <w:rsid w:val="00CD08AE"/>
    <w:pPr>
      <w:spacing w:before="240"/>
    </w:pPr>
    <w:rPr>
      <w:rFonts w:ascii="Cambria" w:hAnsi="Cambria"/>
      <w:b/>
      <w:sz w:val="20"/>
      <w:szCs w:val="20"/>
    </w:rPr>
  </w:style>
  <w:style w:type="paragraph" w:styleId="TOC1">
    <w:name w:val="toc 1"/>
    <w:basedOn w:val="Normal"/>
    <w:next w:val="Normal"/>
    <w:autoRedefine/>
    <w:uiPriority w:val="39"/>
    <w:rsid w:val="00020E6F"/>
    <w:pPr>
      <w:tabs>
        <w:tab w:val="left" w:pos="426"/>
        <w:tab w:val="left" w:pos="567"/>
        <w:tab w:val="right" w:pos="8296"/>
      </w:tabs>
      <w:spacing w:before="360" w:line="276" w:lineRule="auto"/>
    </w:pPr>
    <w:rPr>
      <w:rFonts w:ascii="Calibri" w:hAnsi="Calibri"/>
      <w:b/>
      <w:caps/>
    </w:rPr>
  </w:style>
  <w:style w:type="character" w:customStyle="1" w:styleId="phone2">
    <w:name w:val="phone2"/>
    <w:uiPriority w:val="99"/>
    <w:rsid w:val="00C34E51"/>
    <w:rPr>
      <w:b/>
      <w:color w:val="DD291E"/>
      <w:sz w:val="48"/>
    </w:rPr>
  </w:style>
  <w:style w:type="paragraph" w:styleId="Revision">
    <w:name w:val="Revision"/>
    <w:hidden/>
    <w:uiPriority w:val="99"/>
    <w:rsid w:val="00CF623D"/>
    <w:rPr>
      <w:sz w:val="24"/>
      <w:szCs w:val="24"/>
    </w:rPr>
  </w:style>
  <w:style w:type="paragraph" w:styleId="NormalWeb">
    <w:name w:val="Normal (Web)"/>
    <w:basedOn w:val="Normal"/>
    <w:uiPriority w:val="99"/>
    <w:rsid w:val="000709D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5D664D"/>
    <w:pPr>
      <w:ind w:left="720"/>
      <w:contextualSpacing/>
    </w:pPr>
  </w:style>
  <w:style w:type="paragraph" w:styleId="Index1">
    <w:name w:val="index 1"/>
    <w:basedOn w:val="Normal"/>
    <w:next w:val="Normal"/>
    <w:autoRedefine/>
    <w:uiPriority w:val="99"/>
    <w:rsid w:val="00900670"/>
    <w:pPr>
      <w:ind w:left="240" w:hanging="240"/>
    </w:pPr>
    <w:rPr>
      <w:rFonts w:ascii="Cambria" w:hAnsi="Cambria"/>
      <w:sz w:val="18"/>
      <w:szCs w:val="18"/>
    </w:rPr>
  </w:style>
  <w:style w:type="paragraph" w:styleId="Index2">
    <w:name w:val="index 2"/>
    <w:basedOn w:val="Normal"/>
    <w:next w:val="Normal"/>
    <w:autoRedefine/>
    <w:uiPriority w:val="99"/>
    <w:rsid w:val="00900670"/>
    <w:pPr>
      <w:ind w:left="480" w:hanging="240"/>
    </w:pPr>
    <w:rPr>
      <w:rFonts w:ascii="Cambria" w:hAnsi="Cambria"/>
      <w:sz w:val="18"/>
      <w:szCs w:val="18"/>
    </w:rPr>
  </w:style>
  <w:style w:type="paragraph" w:styleId="Index3">
    <w:name w:val="index 3"/>
    <w:basedOn w:val="Normal"/>
    <w:next w:val="Normal"/>
    <w:autoRedefine/>
    <w:uiPriority w:val="99"/>
    <w:rsid w:val="00900670"/>
    <w:pPr>
      <w:ind w:left="720" w:hanging="240"/>
    </w:pPr>
    <w:rPr>
      <w:rFonts w:ascii="Cambria" w:hAnsi="Cambria"/>
      <w:sz w:val="18"/>
      <w:szCs w:val="18"/>
    </w:rPr>
  </w:style>
  <w:style w:type="paragraph" w:styleId="Index4">
    <w:name w:val="index 4"/>
    <w:basedOn w:val="Normal"/>
    <w:next w:val="Normal"/>
    <w:autoRedefine/>
    <w:uiPriority w:val="99"/>
    <w:rsid w:val="00900670"/>
    <w:pPr>
      <w:ind w:left="960" w:hanging="240"/>
    </w:pPr>
    <w:rPr>
      <w:rFonts w:ascii="Cambria" w:hAnsi="Cambria"/>
      <w:sz w:val="18"/>
      <w:szCs w:val="18"/>
    </w:rPr>
  </w:style>
  <w:style w:type="paragraph" w:styleId="Index5">
    <w:name w:val="index 5"/>
    <w:basedOn w:val="Normal"/>
    <w:next w:val="Normal"/>
    <w:autoRedefine/>
    <w:uiPriority w:val="99"/>
    <w:rsid w:val="00900670"/>
    <w:pPr>
      <w:ind w:left="1200" w:hanging="240"/>
    </w:pPr>
    <w:rPr>
      <w:rFonts w:ascii="Cambria" w:hAnsi="Cambria"/>
      <w:sz w:val="18"/>
      <w:szCs w:val="18"/>
    </w:rPr>
  </w:style>
  <w:style w:type="paragraph" w:styleId="Index6">
    <w:name w:val="index 6"/>
    <w:basedOn w:val="Normal"/>
    <w:next w:val="Normal"/>
    <w:autoRedefine/>
    <w:uiPriority w:val="99"/>
    <w:rsid w:val="00900670"/>
    <w:pPr>
      <w:ind w:left="1440" w:hanging="240"/>
    </w:pPr>
    <w:rPr>
      <w:rFonts w:ascii="Cambria" w:hAnsi="Cambria"/>
      <w:sz w:val="18"/>
      <w:szCs w:val="18"/>
    </w:rPr>
  </w:style>
  <w:style w:type="paragraph" w:styleId="Index7">
    <w:name w:val="index 7"/>
    <w:basedOn w:val="Normal"/>
    <w:next w:val="Normal"/>
    <w:autoRedefine/>
    <w:uiPriority w:val="99"/>
    <w:rsid w:val="00900670"/>
    <w:pPr>
      <w:ind w:left="1680" w:hanging="240"/>
    </w:pPr>
    <w:rPr>
      <w:rFonts w:ascii="Cambria" w:hAnsi="Cambria"/>
      <w:sz w:val="18"/>
      <w:szCs w:val="18"/>
    </w:rPr>
  </w:style>
  <w:style w:type="paragraph" w:styleId="Index8">
    <w:name w:val="index 8"/>
    <w:basedOn w:val="Normal"/>
    <w:next w:val="Normal"/>
    <w:autoRedefine/>
    <w:uiPriority w:val="99"/>
    <w:rsid w:val="00900670"/>
    <w:pPr>
      <w:ind w:left="1920" w:hanging="240"/>
    </w:pPr>
    <w:rPr>
      <w:rFonts w:ascii="Cambria" w:hAnsi="Cambria"/>
      <w:sz w:val="18"/>
      <w:szCs w:val="18"/>
    </w:rPr>
  </w:style>
  <w:style w:type="paragraph" w:styleId="Index9">
    <w:name w:val="index 9"/>
    <w:basedOn w:val="Normal"/>
    <w:next w:val="Normal"/>
    <w:autoRedefine/>
    <w:uiPriority w:val="99"/>
    <w:rsid w:val="00900670"/>
    <w:pPr>
      <w:ind w:left="2160" w:hanging="240"/>
    </w:pPr>
    <w:rPr>
      <w:rFonts w:ascii="Cambria" w:hAnsi="Cambria"/>
      <w:sz w:val="18"/>
      <w:szCs w:val="18"/>
    </w:rPr>
  </w:style>
  <w:style w:type="paragraph" w:styleId="IndexHeading">
    <w:name w:val="index heading"/>
    <w:basedOn w:val="Normal"/>
    <w:next w:val="Index1"/>
    <w:uiPriority w:val="99"/>
    <w:rsid w:val="00900670"/>
    <w:pPr>
      <w:pBdr>
        <w:top w:val="single" w:sz="12" w:space="0" w:color="auto"/>
      </w:pBdr>
      <w:spacing w:before="360" w:after="240"/>
    </w:pPr>
    <w:rPr>
      <w:rFonts w:ascii="Cambria" w:hAnsi="Cambria"/>
      <w:i/>
      <w:sz w:val="26"/>
      <w:szCs w:val="26"/>
    </w:rPr>
  </w:style>
  <w:style w:type="paragraph" w:styleId="TOC3">
    <w:name w:val="toc 3"/>
    <w:basedOn w:val="Normal"/>
    <w:next w:val="Normal"/>
    <w:autoRedefine/>
    <w:uiPriority w:val="99"/>
    <w:rsid w:val="00900670"/>
    <w:pPr>
      <w:ind w:left="240"/>
    </w:pPr>
    <w:rPr>
      <w:rFonts w:ascii="Cambria" w:hAnsi="Cambria"/>
      <w:sz w:val="20"/>
      <w:szCs w:val="20"/>
    </w:rPr>
  </w:style>
  <w:style w:type="paragraph" w:styleId="TOC4">
    <w:name w:val="toc 4"/>
    <w:basedOn w:val="Normal"/>
    <w:next w:val="Normal"/>
    <w:autoRedefine/>
    <w:uiPriority w:val="99"/>
    <w:rsid w:val="00900670"/>
    <w:pPr>
      <w:ind w:left="480"/>
    </w:pPr>
    <w:rPr>
      <w:rFonts w:ascii="Cambria" w:hAnsi="Cambria"/>
      <w:sz w:val="20"/>
      <w:szCs w:val="20"/>
    </w:rPr>
  </w:style>
  <w:style w:type="paragraph" w:styleId="TOC5">
    <w:name w:val="toc 5"/>
    <w:basedOn w:val="Normal"/>
    <w:next w:val="Normal"/>
    <w:autoRedefine/>
    <w:uiPriority w:val="99"/>
    <w:rsid w:val="00900670"/>
    <w:pPr>
      <w:ind w:left="720"/>
    </w:pPr>
    <w:rPr>
      <w:rFonts w:ascii="Cambria" w:hAnsi="Cambria"/>
      <w:sz w:val="20"/>
      <w:szCs w:val="20"/>
    </w:rPr>
  </w:style>
  <w:style w:type="paragraph" w:styleId="TOC6">
    <w:name w:val="toc 6"/>
    <w:basedOn w:val="Normal"/>
    <w:next w:val="Normal"/>
    <w:autoRedefine/>
    <w:uiPriority w:val="99"/>
    <w:rsid w:val="00900670"/>
    <w:pPr>
      <w:ind w:left="960"/>
    </w:pPr>
    <w:rPr>
      <w:rFonts w:ascii="Cambria" w:hAnsi="Cambria"/>
      <w:sz w:val="20"/>
      <w:szCs w:val="20"/>
    </w:rPr>
  </w:style>
  <w:style w:type="paragraph" w:styleId="TOC7">
    <w:name w:val="toc 7"/>
    <w:basedOn w:val="Normal"/>
    <w:next w:val="Normal"/>
    <w:autoRedefine/>
    <w:uiPriority w:val="99"/>
    <w:rsid w:val="00900670"/>
    <w:pPr>
      <w:ind w:left="1200"/>
    </w:pPr>
    <w:rPr>
      <w:rFonts w:ascii="Cambria" w:hAnsi="Cambria"/>
      <w:sz w:val="20"/>
      <w:szCs w:val="20"/>
    </w:rPr>
  </w:style>
  <w:style w:type="paragraph" w:styleId="TOC8">
    <w:name w:val="toc 8"/>
    <w:basedOn w:val="Normal"/>
    <w:next w:val="Normal"/>
    <w:autoRedefine/>
    <w:uiPriority w:val="99"/>
    <w:rsid w:val="00900670"/>
    <w:pPr>
      <w:ind w:left="1440"/>
    </w:pPr>
    <w:rPr>
      <w:rFonts w:ascii="Cambria" w:hAnsi="Cambria"/>
      <w:sz w:val="20"/>
      <w:szCs w:val="20"/>
    </w:rPr>
  </w:style>
  <w:style w:type="paragraph" w:styleId="TOC9">
    <w:name w:val="toc 9"/>
    <w:basedOn w:val="Normal"/>
    <w:next w:val="Normal"/>
    <w:autoRedefine/>
    <w:uiPriority w:val="99"/>
    <w:rsid w:val="00900670"/>
    <w:pPr>
      <w:ind w:left="1680"/>
    </w:pPr>
    <w:rPr>
      <w:rFonts w:ascii="Cambria" w:hAnsi="Cambria"/>
      <w:sz w:val="20"/>
      <w:szCs w:val="20"/>
    </w:rPr>
  </w:style>
  <w:style w:type="character" w:styleId="Emphasis">
    <w:name w:val="Emphasis"/>
    <w:uiPriority w:val="99"/>
    <w:qFormat/>
    <w:rsid w:val="00801368"/>
    <w:rPr>
      <w:rFonts w:cs="Times New Roman"/>
      <w:i/>
      <w:iCs/>
    </w:rPr>
  </w:style>
  <w:style w:type="paragraph" w:customStyle="1" w:styleId="EndNoteBibliographyTitle">
    <w:name w:val="EndNote Bibliography Title"/>
    <w:basedOn w:val="Normal"/>
    <w:link w:val="EndNoteBibliographyTitleChar"/>
    <w:uiPriority w:val="99"/>
    <w:rsid w:val="006669B7"/>
    <w:pPr>
      <w:jc w:val="center"/>
    </w:pPr>
    <w:rPr>
      <w:rFonts w:ascii="Tahoma" w:hAnsi="Tahoma" w:cs="Tahoma"/>
      <w:noProof/>
      <w:sz w:val="24"/>
    </w:rPr>
  </w:style>
  <w:style w:type="character" w:customStyle="1" w:styleId="EndNoteBibliographyTitleChar">
    <w:name w:val="EndNote Bibliography Title Char"/>
    <w:link w:val="EndNoteBibliographyTitle"/>
    <w:uiPriority w:val="99"/>
    <w:locked/>
    <w:rsid w:val="006669B7"/>
    <w:rPr>
      <w:rFonts w:ascii="Tahoma" w:hAnsi="Tahoma" w:cs="Tahoma"/>
      <w:noProof/>
      <w:sz w:val="24"/>
      <w:szCs w:val="24"/>
    </w:rPr>
  </w:style>
  <w:style w:type="paragraph" w:customStyle="1" w:styleId="EndNoteBibliography">
    <w:name w:val="EndNote Bibliography"/>
    <w:basedOn w:val="Normal"/>
    <w:link w:val="EndNoteBibliographyChar"/>
    <w:rsid w:val="006669B7"/>
    <w:pPr>
      <w:spacing w:line="240" w:lineRule="auto"/>
      <w:jc w:val="both"/>
    </w:pPr>
    <w:rPr>
      <w:rFonts w:ascii="Tahoma" w:hAnsi="Tahoma" w:cs="Tahoma"/>
      <w:noProof/>
      <w:sz w:val="24"/>
    </w:rPr>
  </w:style>
  <w:style w:type="character" w:customStyle="1" w:styleId="EndNoteBibliographyChar">
    <w:name w:val="EndNote Bibliography Char"/>
    <w:link w:val="EndNoteBibliography"/>
    <w:locked/>
    <w:rsid w:val="006669B7"/>
    <w:rPr>
      <w:rFonts w:ascii="Tahoma" w:hAnsi="Tahoma" w:cs="Tahoma"/>
      <w:noProof/>
      <w:sz w:val="24"/>
      <w:szCs w:val="24"/>
    </w:rPr>
  </w:style>
  <w:style w:type="character" w:styleId="Strong">
    <w:name w:val="Strong"/>
    <w:uiPriority w:val="99"/>
    <w:qFormat/>
    <w:rsid w:val="00B13752"/>
    <w:rPr>
      <w:rFonts w:cs="Times New Roman"/>
      <w:b/>
      <w:bCs/>
    </w:rPr>
  </w:style>
  <w:style w:type="numbering" w:styleId="111111">
    <w:name w:val="Outline List 2"/>
    <w:basedOn w:val="NoList"/>
    <w:uiPriority w:val="99"/>
    <w:semiHidden/>
    <w:unhideWhenUsed/>
    <w:locked/>
    <w:rsid w:val="00406DD2"/>
    <w:pPr>
      <w:numPr>
        <w:numId w:val="2"/>
      </w:numPr>
    </w:pPr>
  </w:style>
  <w:style w:type="paragraph" w:styleId="Bibliography">
    <w:name w:val="Bibliography"/>
    <w:basedOn w:val="Normal"/>
    <w:next w:val="Normal"/>
    <w:uiPriority w:val="37"/>
    <w:unhideWhenUsed/>
    <w:rsid w:val="00C93CBD"/>
    <w:pPr>
      <w:tabs>
        <w:tab w:val="left" w:pos="504"/>
      </w:tabs>
      <w:spacing w:after="240"/>
      <w:ind w:left="504" w:hanging="504"/>
    </w:pPr>
  </w:style>
  <w:style w:type="paragraph" w:customStyle="1" w:styleId="contribs">
    <w:name w:val="contribs"/>
    <w:basedOn w:val="Normal"/>
    <w:rsid w:val="00C55872"/>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7F0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pt-BR"/>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3CBD"/>
    <w:pPr>
      <w:spacing w:line="360" w:lineRule="auto"/>
    </w:pPr>
    <w:rPr>
      <w:rFonts w:ascii="Arial" w:hAnsi="Arial"/>
      <w:sz w:val="22"/>
      <w:szCs w:val="24"/>
    </w:rPr>
  </w:style>
  <w:style w:type="paragraph" w:styleId="Heading1">
    <w:name w:val="heading 1"/>
    <w:basedOn w:val="Normal"/>
    <w:next w:val="Normal"/>
    <w:link w:val="Heading1Char"/>
    <w:uiPriority w:val="99"/>
    <w:qFormat/>
    <w:rsid w:val="00900670"/>
    <w:pPr>
      <w:keepNext/>
      <w:tabs>
        <w:tab w:val="left" w:pos="425"/>
      </w:tabs>
      <w:spacing w:before="240" w:after="60"/>
      <w:ind w:left="431" w:hanging="431"/>
      <w:outlineLvl w:val="0"/>
    </w:pPr>
    <w:rPr>
      <w:b/>
      <w:kern w:val="32"/>
      <w:szCs w:val="20"/>
    </w:rPr>
  </w:style>
  <w:style w:type="paragraph" w:styleId="Heading2">
    <w:name w:val="heading 2"/>
    <w:basedOn w:val="Normal"/>
    <w:next w:val="Normal"/>
    <w:link w:val="Heading2Char"/>
    <w:uiPriority w:val="99"/>
    <w:qFormat/>
    <w:rsid w:val="006232D1"/>
    <w:pPr>
      <w:keepNext/>
      <w:spacing w:before="120" w:after="60"/>
      <w:outlineLvl w:val="1"/>
    </w:pPr>
    <w:rPr>
      <w:b/>
      <w:i/>
      <w:szCs w:val="20"/>
    </w:rPr>
  </w:style>
  <w:style w:type="paragraph" w:styleId="Heading3">
    <w:name w:val="heading 3"/>
    <w:basedOn w:val="Normal"/>
    <w:next w:val="Normal"/>
    <w:link w:val="Heading3Char"/>
    <w:uiPriority w:val="99"/>
    <w:qFormat/>
    <w:rsid w:val="008C7AAA"/>
    <w:pPr>
      <w:keepNext/>
      <w:spacing w:before="240" w:after="60"/>
      <w:outlineLvl w:val="2"/>
    </w:pPr>
    <w:rPr>
      <w:i/>
      <w:szCs w:val="20"/>
    </w:rPr>
  </w:style>
  <w:style w:type="paragraph" w:styleId="Heading4">
    <w:name w:val="heading 4"/>
    <w:basedOn w:val="Normal"/>
    <w:next w:val="Normal"/>
    <w:link w:val="Heading4Char"/>
    <w:uiPriority w:val="99"/>
    <w:qFormat/>
    <w:rsid w:val="00096B88"/>
    <w:pPr>
      <w:keepNext/>
      <w:numPr>
        <w:ilvl w:val="3"/>
        <w:numId w:val="1"/>
      </w:numPr>
      <w:spacing w:before="240" w:after="60"/>
      <w:outlineLvl w:val="3"/>
    </w:pPr>
    <w:rPr>
      <w:b/>
      <w:sz w:val="28"/>
      <w:szCs w:val="20"/>
    </w:rPr>
  </w:style>
  <w:style w:type="paragraph" w:styleId="Heading5">
    <w:name w:val="heading 5"/>
    <w:basedOn w:val="Normal"/>
    <w:next w:val="Normal"/>
    <w:link w:val="Heading5Char"/>
    <w:uiPriority w:val="99"/>
    <w:qFormat/>
    <w:rsid w:val="00096B88"/>
    <w:pPr>
      <w:numPr>
        <w:ilvl w:val="4"/>
        <w:numId w:val="1"/>
      </w:numPr>
      <w:spacing w:before="240" w:after="60"/>
      <w:outlineLvl w:val="4"/>
    </w:pPr>
    <w:rPr>
      <w:b/>
      <w:i/>
      <w:sz w:val="26"/>
      <w:szCs w:val="20"/>
    </w:rPr>
  </w:style>
  <w:style w:type="paragraph" w:styleId="Heading6">
    <w:name w:val="heading 6"/>
    <w:basedOn w:val="Normal"/>
    <w:next w:val="Normal"/>
    <w:link w:val="Heading6Char"/>
    <w:uiPriority w:val="99"/>
    <w:qFormat/>
    <w:rsid w:val="00096B88"/>
    <w:pPr>
      <w:numPr>
        <w:ilvl w:val="5"/>
        <w:numId w:val="1"/>
      </w:numPr>
      <w:spacing w:before="240" w:after="60"/>
      <w:outlineLvl w:val="5"/>
    </w:pPr>
    <w:rPr>
      <w:b/>
      <w:szCs w:val="20"/>
    </w:rPr>
  </w:style>
  <w:style w:type="paragraph" w:styleId="Heading7">
    <w:name w:val="heading 7"/>
    <w:basedOn w:val="Normal"/>
    <w:next w:val="Normal"/>
    <w:link w:val="Heading7Char"/>
    <w:uiPriority w:val="99"/>
    <w:qFormat/>
    <w:rsid w:val="00096B88"/>
    <w:pPr>
      <w:numPr>
        <w:ilvl w:val="6"/>
        <w:numId w:val="1"/>
      </w:numPr>
      <w:spacing w:before="240" w:after="60"/>
      <w:outlineLvl w:val="6"/>
    </w:pPr>
    <w:rPr>
      <w:szCs w:val="20"/>
    </w:rPr>
  </w:style>
  <w:style w:type="paragraph" w:styleId="Heading8">
    <w:name w:val="heading 8"/>
    <w:basedOn w:val="Normal"/>
    <w:next w:val="Normal"/>
    <w:link w:val="Heading8Char"/>
    <w:uiPriority w:val="99"/>
    <w:qFormat/>
    <w:rsid w:val="00096B88"/>
    <w:pPr>
      <w:numPr>
        <w:ilvl w:val="7"/>
        <w:numId w:val="1"/>
      </w:numPr>
      <w:spacing w:before="240" w:after="60"/>
      <w:outlineLvl w:val="7"/>
    </w:pPr>
    <w:rPr>
      <w:i/>
      <w:szCs w:val="20"/>
    </w:rPr>
  </w:style>
  <w:style w:type="paragraph" w:styleId="Heading9">
    <w:name w:val="heading 9"/>
    <w:basedOn w:val="Normal"/>
    <w:next w:val="Normal"/>
    <w:link w:val="Heading9Char"/>
    <w:uiPriority w:val="99"/>
    <w:qFormat/>
    <w:rsid w:val="00096B88"/>
    <w:pPr>
      <w:numPr>
        <w:ilvl w:val="8"/>
        <w:numId w:val="1"/>
      </w:numPr>
      <w:spacing w:before="240" w:after="60"/>
      <w:outlineLvl w:val="8"/>
    </w:pPr>
    <w:rPr>
      <w:rFonts w:ascii="Helvetica" w:hAnsi="Helvetic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6DD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06DD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06DD2"/>
    <w:rPr>
      <w:rFonts w:ascii="Cambria" w:eastAsia="Times New Roman" w:hAnsi="Cambria" w:cs="Times New Roman"/>
      <w:b/>
      <w:bCs/>
      <w:sz w:val="26"/>
      <w:szCs w:val="26"/>
    </w:rPr>
  </w:style>
  <w:style w:type="character" w:customStyle="1" w:styleId="Heading4Char">
    <w:name w:val="Heading 4 Char"/>
    <w:link w:val="Heading4"/>
    <w:uiPriority w:val="99"/>
    <w:rsid w:val="00406DD2"/>
    <w:rPr>
      <w:rFonts w:ascii="Arial" w:hAnsi="Arial"/>
      <w:b/>
      <w:sz w:val="28"/>
      <w:lang w:eastAsia="pt-BR"/>
    </w:rPr>
  </w:style>
  <w:style w:type="character" w:customStyle="1" w:styleId="Heading5Char">
    <w:name w:val="Heading 5 Char"/>
    <w:link w:val="Heading5"/>
    <w:uiPriority w:val="99"/>
    <w:rsid w:val="00406DD2"/>
    <w:rPr>
      <w:rFonts w:ascii="Arial" w:hAnsi="Arial"/>
      <w:b/>
      <w:i/>
      <w:sz w:val="26"/>
      <w:lang w:eastAsia="pt-BR"/>
    </w:rPr>
  </w:style>
  <w:style w:type="character" w:customStyle="1" w:styleId="Heading6Char">
    <w:name w:val="Heading 6 Char"/>
    <w:link w:val="Heading6"/>
    <w:uiPriority w:val="99"/>
    <w:rsid w:val="00406DD2"/>
    <w:rPr>
      <w:rFonts w:ascii="Arial" w:hAnsi="Arial"/>
      <w:b/>
      <w:sz w:val="22"/>
      <w:lang w:eastAsia="pt-BR"/>
    </w:rPr>
  </w:style>
  <w:style w:type="character" w:customStyle="1" w:styleId="Heading7Char">
    <w:name w:val="Heading 7 Char"/>
    <w:link w:val="Heading7"/>
    <w:uiPriority w:val="99"/>
    <w:rsid w:val="00406DD2"/>
    <w:rPr>
      <w:rFonts w:ascii="Arial" w:hAnsi="Arial"/>
      <w:sz w:val="22"/>
      <w:lang w:eastAsia="pt-BR"/>
    </w:rPr>
  </w:style>
  <w:style w:type="character" w:customStyle="1" w:styleId="Heading8Char">
    <w:name w:val="Heading 8 Char"/>
    <w:link w:val="Heading8"/>
    <w:uiPriority w:val="99"/>
    <w:rsid w:val="00406DD2"/>
    <w:rPr>
      <w:rFonts w:ascii="Arial" w:hAnsi="Arial"/>
      <w:i/>
      <w:sz w:val="22"/>
      <w:lang w:eastAsia="pt-BR"/>
    </w:rPr>
  </w:style>
  <w:style w:type="character" w:customStyle="1" w:styleId="Heading9Char">
    <w:name w:val="Heading 9 Char"/>
    <w:link w:val="Heading9"/>
    <w:uiPriority w:val="99"/>
    <w:rsid w:val="00406DD2"/>
    <w:rPr>
      <w:rFonts w:ascii="Helvetica" w:hAnsi="Helvetica"/>
      <w:sz w:val="22"/>
      <w:lang w:eastAsia="pt-BR"/>
    </w:rPr>
  </w:style>
  <w:style w:type="paragraph" w:customStyle="1" w:styleId="Default">
    <w:name w:val="Default"/>
    <w:uiPriority w:val="99"/>
    <w:rsid w:val="001D4451"/>
    <w:pPr>
      <w:autoSpaceDE w:val="0"/>
      <w:autoSpaceDN w:val="0"/>
      <w:adjustRightInd w:val="0"/>
    </w:pPr>
    <w:rPr>
      <w:rFonts w:ascii="Tahoma" w:hAnsi="Tahoma" w:cs="Tahoma"/>
      <w:color w:val="000000"/>
      <w:sz w:val="24"/>
      <w:szCs w:val="24"/>
    </w:rPr>
  </w:style>
  <w:style w:type="character" w:styleId="Hyperlink">
    <w:name w:val="Hyperlink"/>
    <w:uiPriority w:val="99"/>
    <w:rsid w:val="001D14DC"/>
    <w:rPr>
      <w:rFonts w:cs="Times New Roman"/>
      <w:color w:val="0000FF"/>
      <w:u w:val="single"/>
    </w:rPr>
  </w:style>
  <w:style w:type="table" w:styleId="TableGrid">
    <w:name w:val="Table Grid"/>
    <w:basedOn w:val="TableNormal"/>
    <w:uiPriority w:val="99"/>
    <w:rsid w:val="000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092E00"/>
    <w:rPr>
      <w:color w:val="0000FF"/>
      <w:szCs w:val="20"/>
    </w:rPr>
  </w:style>
  <w:style w:type="character" w:customStyle="1" w:styleId="BodyText2Char">
    <w:name w:val="Body Text 2 Char"/>
    <w:link w:val="BodyText2"/>
    <w:uiPriority w:val="99"/>
    <w:semiHidden/>
    <w:rsid w:val="00406DD2"/>
    <w:rPr>
      <w:rFonts w:ascii="Arial" w:hAnsi="Arial"/>
      <w:sz w:val="24"/>
      <w:szCs w:val="24"/>
    </w:rPr>
  </w:style>
  <w:style w:type="paragraph" w:styleId="Header">
    <w:name w:val="header"/>
    <w:basedOn w:val="Normal"/>
    <w:link w:val="HeaderChar"/>
    <w:uiPriority w:val="99"/>
    <w:rsid w:val="00092E00"/>
    <w:pPr>
      <w:tabs>
        <w:tab w:val="center" w:pos="4153"/>
        <w:tab w:val="right" w:pos="8306"/>
      </w:tabs>
    </w:pPr>
  </w:style>
  <w:style w:type="character" w:customStyle="1" w:styleId="HeaderChar">
    <w:name w:val="Header Char"/>
    <w:link w:val="Header"/>
    <w:uiPriority w:val="99"/>
    <w:rsid w:val="00406DD2"/>
    <w:rPr>
      <w:rFonts w:ascii="Arial" w:hAnsi="Arial"/>
      <w:sz w:val="24"/>
      <w:szCs w:val="24"/>
    </w:rPr>
  </w:style>
  <w:style w:type="paragraph" w:styleId="Footer">
    <w:name w:val="footer"/>
    <w:basedOn w:val="Normal"/>
    <w:link w:val="FooterChar"/>
    <w:uiPriority w:val="99"/>
    <w:rsid w:val="00092E00"/>
    <w:pPr>
      <w:tabs>
        <w:tab w:val="center" w:pos="4153"/>
        <w:tab w:val="right" w:pos="8306"/>
      </w:tabs>
    </w:pPr>
  </w:style>
  <w:style w:type="character" w:customStyle="1" w:styleId="FooterChar">
    <w:name w:val="Footer Char"/>
    <w:link w:val="Footer"/>
    <w:uiPriority w:val="99"/>
    <w:rsid w:val="00406DD2"/>
    <w:rPr>
      <w:rFonts w:ascii="Arial" w:hAnsi="Arial"/>
      <w:sz w:val="24"/>
      <w:szCs w:val="24"/>
    </w:rPr>
  </w:style>
  <w:style w:type="paragraph" w:styleId="BalloonText">
    <w:name w:val="Balloon Text"/>
    <w:basedOn w:val="Normal"/>
    <w:link w:val="BalloonTextChar"/>
    <w:uiPriority w:val="99"/>
    <w:semiHidden/>
    <w:rsid w:val="005C7FE8"/>
    <w:rPr>
      <w:rFonts w:ascii="Tahoma" w:hAnsi="Tahoma" w:cs="Tahoma"/>
      <w:sz w:val="16"/>
      <w:szCs w:val="16"/>
    </w:rPr>
  </w:style>
  <w:style w:type="character" w:customStyle="1" w:styleId="BalloonTextChar">
    <w:name w:val="Balloon Text Char"/>
    <w:link w:val="BalloonText"/>
    <w:uiPriority w:val="99"/>
    <w:semiHidden/>
    <w:rsid w:val="00406DD2"/>
    <w:rPr>
      <w:sz w:val="0"/>
      <w:szCs w:val="0"/>
    </w:rPr>
  </w:style>
  <w:style w:type="paragraph" w:customStyle="1" w:styleId="default0">
    <w:name w:val="default"/>
    <w:basedOn w:val="Normal"/>
    <w:uiPriority w:val="99"/>
    <w:rsid w:val="00096B88"/>
    <w:pPr>
      <w:spacing w:before="100" w:beforeAutospacing="1" w:after="100" w:afterAutospacing="1"/>
    </w:pPr>
  </w:style>
  <w:style w:type="character" w:styleId="CommentReference">
    <w:name w:val="annotation reference"/>
    <w:uiPriority w:val="99"/>
    <w:semiHidden/>
    <w:rsid w:val="0066260E"/>
    <w:rPr>
      <w:rFonts w:cs="Times New Roman"/>
      <w:sz w:val="16"/>
    </w:rPr>
  </w:style>
  <w:style w:type="paragraph" w:styleId="CommentText">
    <w:name w:val="annotation text"/>
    <w:basedOn w:val="Normal"/>
    <w:link w:val="CommentTextChar"/>
    <w:uiPriority w:val="99"/>
    <w:semiHidden/>
    <w:rsid w:val="0066260E"/>
    <w:rPr>
      <w:sz w:val="20"/>
      <w:szCs w:val="20"/>
    </w:rPr>
  </w:style>
  <w:style w:type="character" w:customStyle="1" w:styleId="CommentTextChar">
    <w:name w:val="Comment Text Char"/>
    <w:link w:val="CommentText"/>
    <w:uiPriority w:val="99"/>
    <w:semiHidden/>
    <w:rsid w:val="00406DD2"/>
    <w:rPr>
      <w:rFonts w:ascii="Arial" w:hAnsi="Arial"/>
      <w:sz w:val="20"/>
      <w:szCs w:val="20"/>
    </w:rPr>
  </w:style>
  <w:style w:type="paragraph" w:styleId="CommentSubject">
    <w:name w:val="annotation subject"/>
    <w:basedOn w:val="CommentText"/>
    <w:next w:val="CommentText"/>
    <w:link w:val="CommentSubjectChar"/>
    <w:uiPriority w:val="99"/>
    <w:semiHidden/>
    <w:rsid w:val="0066260E"/>
    <w:rPr>
      <w:b/>
      <w:bCs/>
    </w:rPr>
  </w:style>
  <w:style w:type="character" w:customStyle="1" w:styleId="CommentSubjectChar">
    <w:name w:val="Comment Subject Char"/>
    <w:link w:val="CommentSubject"/>
    <w:uiPriority w:val="99"/>
    <w:semiHidden/>
    <w:rsid w:val="00406DD2"/>
    <w:rPr>
      <w:rFonts w:ascii="Arial" w:hAnsi="Arial"/>
      <w:b/>
      <w:bCs/>
      <w:sz w:val="20"/>
      <w:szCs w:val="20"/>
    </w:rPr>
  </w:style>
  <w:style w:type="paragraph" w:styleId="TOC2">
    <w:name w:val="toc 2"/>
    <w:basedOn w:val="Normal"/>
    <w:next w:val="Normal"/>
    <w:autoRedefine/>
    <w:uiPriority w:val="99"/>
    <w:rsid w:val="00CD08AE"/>
    <w:pPr>
      <w:spacing w:before="240"/>
    </w:pPr>
    <w:rPr>
      <w:rFonts w:ascii="Cambria" w:hAnsi="Cambria"/>
      <w:b/>
      <w:sz w:val="20"/>
      <w:szCs w:val="20"/>
    </w:rPr>
  </w:style>
  <w:style w:type="paragraph" w:styleId="TOC1">
    <w:name w:val="toc 1"/>
    <w:basedOn w:val="Normal"/>
    <w:next w:val="Normal"/>
    <w:autoRedefine/>
    <w:uiPriority w:val="39"/>
    <w:rsid w:val="00020E6F"/>
    <w:pPr>
      <w:tabs>
        <w:tab w:val="left" w:pos="426"/>
        <w:tab w:val="left" w:pos="567"/>
        <w:tab w:val="right" w:pos="8296"/>
      </w:tabs>
      <w:spacing w:before="360" w:line="276" w:lineRule="auto"/>
    </w:pPr>
    <w:rPr>
      <w:rFonts w:ascii="Calibri" w:hAnsi="Calibri"/>
      <w:b/>
      <w:caps/>
    </w:rPr>
  </w:style>
  <w:style w:type="character" w:customStyle="1" w:styleId="phone2">
    <w:name w:val="phone2"/>
    <w:uiPriority w:val="99"/>
    <w:rsid w:val="00C34E51"/>
    <w:rPr>
      <w:b/>
      <w:color w:val="DD291E"/>
      <w:sz w:val="48"/>
    </w:rPr>
  </w:style>
  <w:style w:type="paragraph" w:styleId="Revision">
    <w:name w:val="Revision"/>
    <w:hidden/>
    <w:uiPriority w:val="99"/>
    <w:rsid w:val="00CF623D"/>
    <w:rPr>
      <w:sz w:val="24"/>
      <w:szCs w:val="24"/>
    </w:rPr>
  </w:style>
  <w:style w:type="paragraph" w:styleId="NormalWeb">
    <w:name w:val="Normal (Web)"/>
    <w:basedOn w:val="Normal"/>
    <w:uiPriority w:val="99"/>
    <w:rsid w:val="000709D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5D664D"/>
    <w:pPr>
      <w:ind w:left="720"/>
      <w:contextualSpacing/>
    </w:pPr>
  </w:style>
  <w:style w:type="paragraph" w:styleId="Index1">
    <w:name w:val="index 1"/>
    <w:basedOn w:val="Normal"/>
    <w:next w:val="Normal"/>
    <w:autoRedefine/>
    <w:uiPriority w:val="99"/>
    <w:rsid w:val="00900670"/>
    <w:pPr>
      <w:ind w:left="240" w:hanging="240"/>
    </w:pPr>
    <w:rPr>
      <w:rFonts w:ascii="Cambria" w:hAnsi="Cambria"/>
      <w:sz w:val="18"/>
      <w:szCs w:val="18"/>
    </w:rPr>
  </w:style>
  <w:style w:type="paragraph" w:styleId="Index2">
    <w:name w:val="index 2"/>
    <w:basedOn w:val="Normal"/>
    <w:next w:val="Normal"/>
    <w:autoRedefine/>
    <w:uiPriority w:val="99"/>
    <w:rsid w:val="00900670"/>
    <w:pPr>
      <w:ind w:left="480" w:hanging="240"/>
    </w:pPr>
    <w:rPr>
      <w:rFonts w:ascii="Cambria" w:hAnsi="Cambria"/>
      <w:sz w:val="18"/>
      <w:szCs w:val="18"/>
    </w:rPr>
  </w:style>
  <w:style w:type="paragraph" w:styleId="Index3">
    <w:name w:val="index 3"/>
    <w:basedOn w:val="Normal"/>
    <w:next w:val="Normal"/>
    <w:autoRedefine/>
    <w:uiPriority w:val="99"/>
    <w:rsid w:val="00900670"/>
    <w:pPr>
      <w:ind w:left="720" w:hanging="240"/>
    </w:pPr>
    <w:rPr>
      <w:rFonts w:ascii="Cambria" w:hAnsi="Cambria"/>
      <w:sz w:val="18"/>
      <w:szCs w:val="18"/>
    </w:rPr>
  </w:style>
  <w:style w:type="paragraph" w:styleId="Index4">
    <w:name w:val="index 4"/>
    <w:basedOn w:val="Normal"/>
    <w:next w:val="Normal"/>
    <w:autoRedefine/>
    <w:uiPriority w:val="99"/>
    <w:rsid w:val="00900670"/>
    <w:pPr>
      <w:ind w:left="960" w:hanging="240"/>
    </w:pPr>
    <w:rPr>
      <w:rFonts w:ascii="Cambria" w:hAnsi="Cambria"/>
      <w:sz w:val="18"/>
      <w:szCs w:val="18"/>
    </w:rPr>
  </w:style>
  <w:style w:type="paragraph" w:styleId="Index5">
    <w:name w:val="index 5"/>
    <w:basedOn w:val="Normal"/>
    <w:next w:val="Normal"/>
    <w:autoRedefine/>
    <w:uiPriority w:val="99"/>
    <w:rsid w:val="00900670"/>
    <w:pPr>
      <w:ind w:left="1200" w:hanging="240"/>
    </w:pPr>
    <w:rPr>
      <w:rFonts w:ascii="Cambria" w:hAnsi="Cambria"/>
      <w:sz w:val="18"/>
      <w:szCs w:val="18"/>
    </w:rPr>
  </w:style>
  <w:style w:type="paragraph" w:styleId="Index6">
    <w:name w:val="index 6"/>
    <w:basedOn w:val="Normal"/>
    <w:next w:val="Normal"/>
    <w:autoRedefine/>
    <w:uiPriority w:val="99"/>
    <w:rsid w:val="00900670"/>
    <w:pPr>
      <w:ind w:left="1440" w:hanging="240"/>
    </w:pPr>
    <w:rPr>
      <w:rFonts w:ascii="Cambria" w:hAnsi="Cambria"/>
      <w:sz w:val="18"/>
      <w:szCs w:val="18"/>
    </w:rPr>
  </w:style>
  <w:style w:type="paragraph" w:styleId="Index7">
    <w:name w:val="index 7"/>
    <w:basedOn w:val="Normal"/>
    <w:next w:val="Normal"/>
    <w:autoRedefine/>
    <w:uiPriority w:val="99"/>
    <w:rsid w:val="00900670"/>
    <w:pPr>
      <w:ind w:left="1680" w:hanging="240"/>
    </w:pPr>
    <w:rPr>
      <w:rFonts w:ascii="Cambria" w:hAnsi="Cambria"/>
      <w:sz w:val="18"/>
      <w:szCs w:val="18"/>
    </w:rPr>
  </w:style>
  <w:style w:type="paragraph" w:styleId="Index8">
    <w:name w:val="index 8"/>
    <w:basedOn w:val="Normal"/>
    <w:next w:val="Normal"/>
    <w:autoRedefine/>
    <w:uiPriority w:val="99"/>
    <w:rsid w:val="00900670"/>
    <w:pPr>
      <w:ind w:left="1920" w:hanging="240"/>
    </w:pPr>
    <w:rPr>
      <w:rFonts w:ascii="Cambria" w:hAnsi="Cambria"/>
      <w:sz w:val="18"/>
      <w:szCs w:val="18"/>
    </w:rPr>
  </w:style>
  <w:style w:type="paragraph" w:styleId="Index9">
    <w:name w:val="index 9"/>
    <w:basedOn w:val="Normal"/>
    <w:next w:val="Normal"/>
    <w:autoRedefine/>
    <w:uiPriority w:val="99"/>
    <w:rsid w:val="00900670"/>
    <w:pPr>
      <w:ind w:left="2160" w:hanging="240"/>
    </w:pPr>
    <w:rPr>
      <w:rFonts w:ascii="Cambria" w:hAnsi="Cambria"/>
      <w:sz w:val="18"/>
      <w:szCs w:val="18"/>
    </w:rPr>
  </w:style>
  <w:style w:type="paragraph" w:styleId="IndexHeading">
    <w:name w:val="index heading"/>
    <w:basedOn w:val="Normal"/>
    <w:next w:val="Index1"/>
    <w:uiPriority w:val="99"/>
    <w:rsid w:val="00900670"/>
    <w:pPr>
      <w:pBdr>
        <w:top w:val="single" w:sz="12" w:space="0" w:color="auto"/>
      </w:pBdr>
      <w:spacing w:before="360" w:after="240"/>
    </w:pPr>
    <w:rPr>
      <w:rFonts w:ascii="Cambria" w:hAnsi="Cambria"/>
      <w:i/>
      <w:sz w:val="26"/>
      <w:szCs w:val="26"/>
    </w:rPr>
  </w:style>
  <w:style w:type="paragraph" w:styleId="TOC3">
    <w:name w:val="toc 3"/>
    <w:basedOn w:val="Normal"/>
    <w:next w:val="Normal"/>
    <w:autoRedefine/>
    <w:uiPriority w:val="99"/>
    <w:rsid w:val="00900670"/>
    <w:pPr>
      <w:ind w:left="240"/>
    </w:pPr>
    <w:rPr>
      <w:rFonts w:ascii="Cambria" w:hAnsi="Cambria"/>
      <w:sz w:val="20"/>
      <w:szCs w:val="20"/>
    </w:rPr>
  </w:style>
  <w:style w:type="paragraph" w:styleId="TOC4">
    <w:name w:val="toc 4"/>
    <w:basedOn w:val="Normal"/>
    <w:next w:val="Normal"/>
    <w:autoRedefine/>
    <w:uiPriority w:val="99"/>
    <w:rsid w:val="00900670"/>
    <w:pPr>
      <w:ind w:left="480"/>
    </w:pPr>
    <w:rPr>
      <w:rFonts w:ascii="Cambria" w:hAnsi="Cambria"/>
      <w:sz w:val="20"/>
      <w:szCs w:val="20"/>
    </w:rPr>
  </w:style>
  <w:style w:type="paragraph" w:styleId="TOC5">
    <w:name w:val="toc 5"/>
    <w:basedOn w:val="Normal"/>
    <w:next w:val="Normal"/>
    <w:autoRedefine/>
    <w:uiPriority w:val="99"/>
    <w:rsid w:val="00900670"/>
    <w:pPr>
      <w:ind w:left="720"/>
    </w:pPr>
    <w:rPr>
      <w:rFonts w:ascii="Cambria" w:hAnsi="Cambria"/>
      <w:sz w:val="20"/>
      <w:szCs w:val="20"/>
    </w:rPr>
  </w:style>
  <w:style w:type="paragraph" w:styleId="TOC6">
    <w:name w:val="toc 6"/>
    <w:basedOn w:val="Normal"/>
    <w:next w:val="Normal"/>
    <w:autoRedefine/>
    <w:uiPriority w:val="99"/>
    <w:rsid w:val="00900670"/>
    <w:pPr>
      <w:ind w:left="960"/>
    </w:pPr>
    <w:rPr>
      <w:rFonts w:ascii="Cambria" w:hAnsi="Cambria"/>
      <w:sz w:val="20"/>
      <w:szCs w:val="20"/>
    </w:rPr>
  </w:style>
  <w:style w:type="paragraph" w:styleId="TOC7">
    <w:name w:val="toc 7"/>
    <w:basedOn w:val="Normal"/>
    <w:next w:val="Normal"/>
    <w:autoRedefine/>
    <w:uiPriority w:val="99"/>
    <w:rsid w:val="00900670"/>
    <w:pPr>
      <w:ind w:left="1200"/>
    </w:pPr>
    <w:rPr>
      <w:rFonts w:ascii="Cambria" w:hAnsi="Cambria"/>
      <w:sz w:val="20"/>
      <w:szCs w:val="20"/>
    </w:rPr>
  </w:style>
  <w:style w:type="paragraph" w:styleId="TOC8">
    <w:name w:val="toc 8"/>
    <w:basedOn w:val="Normal"/>
    <w:next w:val="Normal"/>
    <w:autoRedefine/>
    <w:uiPriority w:val="99"/>
    <w:rsid w:val="00900670"/>
    <w:pPr>
      <w:ind w:left="1440"/>
    </w:pPr>
    <w:rPr>
      <w:rFonts w:ascii="Cambria" w:hAnsi="Cambria"/>
      <w:sz w:val="20"/>
      <w:szCs w:val="20"/>
    </w:rPr>
  </w:style>
  <w:style w:type="paragraph" w:styleId="TOC9">
    <w:name w:val="toc 9"/>
    <w:basedOn w:val="Normal"/>
    <w:next w:val="Normal"/>
    <w:autoRedefine/>
    <w:uiPriority w:val="99"/>
    <w:rsid w:val="00900670"/>
    <w:pPr>
      <w:ind w:left="1680"/>
    </w:pPr>
    <w:rPr>
      <w:rFonts w:ascii="Cambria" w:hAnsi="Cambria"/>
      <w:sz w:val="20"/>
      <w:szCs w:val="20"/>
    </w:rPr>
  </w:style>
  <w:style w:type="character" w:styleId="Emphasis">
    <w:name w:val="Emphasis"/>
    <w:uiPriority w:val="99"/>
    <w:qFormat/>
    <w:rsid w:val="00801368"/>
    <w:rPr>
      <w:rFonts w:cs="Times New Roman"/>
      <w:i/>
      <w:iCs/>
    </w:rPr>
  </w:style>
  <w:style w:type="paragraph" w:customStyle="1" w:styleId="EndNoteBibliographyTitle">
    <w:name w:val="EndNote Bibliography Title"/>
    <w:basedOn w:val="Normal"/>
    <w:link w:val="EndNoteBibliographyTitleChar"/>
    <w:uiPriority w:val="99"/>
    <w:rsid w:val="006669B7"/>
    <w:pPr>
      <w:jc w:val="center"/>
    </w:pPr>
    <w:rPr>
      <w:rFonts w:ascii="Tahoma" w:hAnsi="Tahoma" w:cs="Tahoma"/>
      <w:noProof/>
      <w:sz w:val="24"/>
    </w:rPr>
  </w:style>
  <w:style w:type="character" w:customStyle="1" w:styleId="EndNoteBibliographyTitleChar">
    <w:name w:val="EndNote Bibliography Title Char"/>
    <w:link w:val="EndNoteBibliographyTitle"/>
    <w:uiPriority w:val="99"/>
    <w:locked/>
    <w:rsid w:val="006669B7"/>
    <w:rPr>
      <w:rFonts w:ascii="Tahoma" w:hAnsi="Tahoma" w:cs="Tahoma"/>
      <w:noProof/>
      <w:sz w:val="24"/>
      <w:szCs w:val="24"/>
    </w:rPr>
  </w:style>
  <w:style w:type="paragraph" w:customStyle="1" w:styleId="EndNoteBibliography">
    <w:name w:val="EndNote Bibliography"/>
    <w:basedOn w:val="Normal"/>
    <w:link w:val="EndNoteBibliographyChar"/>
    <w:rsid w:val="006669B7"/>
    <w:pPr>
      <w:spacing w:line="240" w:lineRule="auto"/>
      <w:jc w:val="both"/>
    </w:pPr>
    <w:rPr>
      <w:rFonts w:ascii="Tahoma" w:hAnsi="Tahoma" w:cs="Tahoma"/>
      <w:noProof/>
      <w:sz w:val="24"/>
    </w:rPr>
  </w:style>
  <w:style w:type="character" w:customStyle="1" w:styleId="EndNoteBibliographyChar">
    <w:name w:val="EndNote Bibliography Char"/>
    <w:link w:val="EndNoteBibliography"/>
    <w:locked/>
    <w:rsid w:val="006669B7"/>
    <w:rPr>
      <w:rFonts w:ascii="Tahoma" w:hAnsi="Tahoma" w:cs="Tahoma"/>
      <w:noProof/>
      <w:sz w:val="24"/>
      <w:szCs w:val="24"/>
    </w:rPr>
  </w:style>
  <w:style w:type="character" w:styleId="Strong">
    <w:name w:val="Strong"/>
    <w:uiPriority w:val="99"/>
    <w:qFormat/>
    <w:rsid w:val="00B13752"/>
    <w:rPr>
      <w:rFonts w:cs="Times New Roman"/>
      <w:b/>
      <w:bCs/>
    </w:rPr>
  </w:style>
  <w:style w:type="numbering" w:styleId="111111">
    <w:name w:val="Outline List 2"/>
    <w:basedOn w:val="NoList"/>
    <w:uiPriority w:val="99"/>
    <w:semiHidden/>
    <w:unhideWhenUsed/>
    <w:locked/>
    <w:rsid w:val="00406DD2"/>
    <w:pPr>
      <w:numPr>
        <w:numId w:val="2"/>
      </w:numPr>
    </w:pPr>
  </w:style>
  <w:style w:type="paragraph" w:styleId="Bibliography">
    <w:name w:val="Bibliography"/>
    <w:basedOn w:val="Normal"/>
    <w:next w:val="Normal"/>
    <w:uiPriority w:val="37"/>
    <w:unhideWhenUsed/>
    <w:rsid w:val="00C93CBD"/>
    <w:pPr>
      <w:tabs>
        <w:tab w:val="left" w:pos="504"/>
      </w:tabs>
      <w:spacing w:after="240"/>
      <w:ind w:left="504" w:hanging="504"/>
    </w:pPr>
  </w:style>
  <w:style w:type="paragraph" w:customStyle="1" w:styleId="contribs">
    <w:name w:val="contribs"/>
    <w:basedOn w:val="Normal"/>
    <w:rsid w:val="00C55872"/>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7F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521">
      <w:marLeft w:val="0"/>
      <w:marRight w:val="0"/>
      <w:marTop w:val="0"/>
      <w:marBottom w:val="0"/>
      <w:divBdr>
        <w:top w:val="none" w:sz="0" w:space="0" w:color="auto"/>
        <w:left w:val="none" w:sz="0" w:space="0" w:color="auto"/>
        <w:bottom w:val="none" w:sz="0" w:space="0" w:color="auto"/>
        <w:right w:val="none" w:sz="0" w:space="0" w:color="auto"/>
      </w:divBdr>
      <w:divsChild>
        <w:div w:id="89089528">
          <w:marLeft w:val="0"/>
          <w:marRight w:val="0"/>
          <w:marTop w:val="0"/>
          <w:marBottom w:val="0"/>
          <w:divBdr>
            <w:top w:val="none" w:sz="0" w:space="0" w:color="auto"/>
            <w:left w:val="none" w:sz="0" w:space="0" w:color="auto"/>
            <w:bottom w:val="none" w:sz="0" w:space="0" w:color="auto"/>
            <w:right w:val="none" w:sz="0" w:space="0" w:color="auto"/>
          </w:divBdr>
          <w:divsChild>
            <w:div w:id="89089526">
              <w:marLeft w:val="0"/>
              <w:marRight w:val="0"/>
              <w:marTop w:val="0"/>
              <w:marBottom w:val="0"/>
              <w:divBdr>
                <w:top w:val="none" w:sz="0" w:space="0" w:color="auto"/>
                <w:left w:val="none" w:sz="0" w:space="0" w:color="auto"/>
                <w:bottom w:val="none" w:sz="0" w:space="0" w:color="auto"/>
                <w:right w:val="none" w:sz="0" w:space="0" w:color="auto"/>
              </w:divBdr>
              <w:divsChild>
                <w:div w:id="89089520">
                  <w:marLeft w:val="0"/>
                  <w:marRight w:val="0"/>
                  <w:marTop w:val="0"/>
                  <w:marBottom w:val="0"/>
                  <w:divBdr>
                    <w:top w:val="none" w:sz="0" w:space="0" w:color="auto"/>
                    <w:left w:val="none" w:sz="0" w:space="0" w:color="auto"/>
                    <w:bottom w:val="none" w:sz="0" w:space="0" w:color="auto"/>
                    <w:right w:val="none" w:sz="0" w:space="0" w:color="auto"/>
                  </w:divBdr>
                  <w:divsChild>
                    <w:div w:id="89089525">
                      <w:marLeft w:val="0"/>
                      <w:marRight w:val="0"/>
                      <w:marTop w:val="0"/>
                      <w:marBottom w:val="0"/>
                      <w:divBdr>
                        <w:top w:val="none" w:sz="0" w:space="0" w:color="auto"/>
                        <w:left w:val="none" w:sz="0" w:space="0" w:color="auto"/>
                        <w:bottom w:val="none" w:sz="0" w:space="0" w:color="auto"/>
                        <w:right w:val="none" w:sz="0" w:space="0" w:color="auto"/>
                      </w:divBdr>
                      <w:divsChild>
                        <w:div w:id="89089523">
                          <w:marLeft w:val="0"/>
                          <w:marRight w:val="0"/>
                          <w:marTop w:val="0"/>
                          <w:marBottom w:val="0"/>
                          <w:divBdr>
                            <w:top w:val="none" w:sz="0" w:space="0" w:color="auto"/>
                            <w:left w:val="none" w:sz="0" w:space="0" w:color="auto"/>
                            <w:bottom w:val="none" w:sz="0" w:space="0" w:color="auto"/>
                            <w:right w:val="none" w:sz="0" w:space="0" w:color="auto"/>
                          </w:divBdr>
                          <w:divsChild>
                            <w:div w:id="890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89529">
      <w:marLeft w:val="0"/>
      <w:marRight w:val="0"/>
      <w:marTop w:val="0"/>
      <w:marBottom w:val="0"/>
      <w:divBdr>
        <w:top w:val="none" w:sz="0" w:space="0" w:color="auto"/>
        <w:left w:val="none" w:sz="0" w:space="0" w:color="auto"/>
        <w:bottom w:val="none" w:sz="0" w:space="0" w:color="auto"/>
        <w:right w:val="none" w:sz="0" w:space="0" w:color="auto"/>
      </w:divBdr>
      <w:divsChild>
        <w:div w:id="89089524">
          <w:marLeft w:val="0"/>
          <w:marRight w:val="0"/>
          <w:marTop w:val="0"/>
          <w:marBottom w:val="0"/>
          <w:divBdr>
            <w:top w:val="none" w:sz="0" w:space="0" w:color="auto"/>
            <w:left w:val="none" w:sz="0" w:space="0" w:color="auto"/>
            <w:bottom w:val="none" w:sz="0" w:space="0" w:color="auto"/>
            <w:right w:val="none" w:sz="0" w:space="0" w:color="auto"/>
          </w:divBdr>
          <w:divsChild>
            <w:div w:id="89089527">
              <w:marLeft w:val="0"/>
              <w:marRight w:val="0"/>
              <w:marTop w:val="0"/>
              <w:marBottom w:val="0"/>
              <w:divBdr>
                <w:top w:val="none" w:sz="0" w:space="0" w:color="auto"/>
                <w:left w:val="none" w:sz="0" w:space="0" w:color="auto"/>
                <w:bottom w:val="none" w:sz="0" w:space="0" w:color="auto"/>
                <w:right w:val="none" w:sz="0" w:space="0" w:color="auto"/>
              </w:divBdr>
              <w:divsChild>
                <w:div w:id="890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9531">
      <w:marLeft w:val="0"/>
      <w:marRight w:val="0"/>
      <w:marTop w:val="0"/>
      <w:marBottom w:val="0"/>
      <w:divBdr>
        <w:top w:val="none" w:sz="0" w:space="0" w:color="auto"/>
        <w:left w:val="none" w:sz="0" w:space="0" w:color="auto"/>
        <w:bottom w:val="none" w:sz="0" w:space="0" w:color="auto"/>
        <w:right w:val="none" w:sz="0" w:space="0" w:color="auto"/>
      </w:divBdr>
    </w:div>
    <w:div w:id="148600929">
      <w:bodyDiv w:val="1"/>
      <w:marLeft w:val="0"/>
      <w:marRight w:val="0"/>
      <w:marTop w:val="0"/>
      <w:marBottom w:val="0"/>
      <w:divBdr>
        <w:top w:val="none" w:sz="0" w:space="0" w:color="auto"/>
        <w:left w:val="none" w:sz="0" w:space="0" w:color="auto"/>
        <w:bottom w:val="none" w:sz="0" w:space="0" w:color="auto"/>
        <w:right w:val="none" w:sz="0" w:space="0" w:color="auto"/>
      </w:divBdr>
    </w:div>
    <w:div w:id="255945759">
      <w:bodyDiv w:val="1"/>
      <w:marLeft w:val="0"/>
      <w:marRight w:val="0"/>
      <w:marTop w:val="0"/>
      <w:marBottom w:val="0"/>
      <w:divBdr>
        <w:top w:val="none" w:sz="0" w:space="0" w:color="auto"/>
        <w:left w:val="none" w:sz="0" w:space="0" w:color="auto"/>
        <w:bottom w:val="none" w:sz="0" w:space="0" w:color="auto"/>
        <w:right w:val="none" w:sz="0" w:space="0" w:color="auto"/>
      </w:divBdr>
    </w:div>
    <w:div w:id="321003859">
      <w:bodyDiv w:val="1"/>
      <w:marLeft w:val="0"/>
      <w:marRight w:val="0"/>
      <w:marTop w:val="0"/>
      <w:marBottom w:val="0"/>
      <w:divBdr>
        <w:top w:val="none" w:sz="0" w:space="0" w:color="auto"/>
        <w:left w:val="none" w:sz="0" w:space="0" w:color="auto"/>
        <w:bottom w:val="none" w:sz="0" w:space="0" w:color="auto"/>
        <w:right w:val="none" w:sz="0" w:space="0" w:color="auto"/>
      </w:divBdr>
    </w:div>
    <w:div w:id="413282678">
      <w:bodyDiv w:val="1"/>
      <w:marLeft w:val="0"/>
      <w:marRight w:val="0"/>
      <w:marTop w:val="0"/>
      <w:marBottom w:val="0"/>
      <w:divBdr>
        <w:top w:val="none" w:sz="0" w:space="0" w:color="auto"/>
        <w:left w:val="none" w:sz="0" w:space="0" w:color="auto"/>
        <w:bottom w:val="none" w:sz="0" w:space="0" w:color="auto"/>
        <w:right w:val="none" w:sz="0" w:space="0" w:color="auto"/>
      </w:divBdr>
    </w:div>
    <w:div w:id="434911930">
      <w:bodyDiv w:val="1"/>
      <w:marLeft w:val="0"/>
      <w:marRight w:val="0"/>
      <w:marTop w:val="0"/>
      <w:marBottom w:val="0"/>
      <w:divBdr>
        <w:top w:val="none" w:sz="0" w:space="0" w:color="auto"/>
        <w:left w:val="none" w:sz="0" w:space="0" w:color="auto"/>
        <w:bottom w:val="none" w:sz="0" w:space="0" w:color="auto"/>
        <w:right w:val="none" w:sz="0" w:space="0" w:color="auto"/>
      </w:divBdr>
    </w:div>
    <w:div w:id="436754139">
      <w:bodyDiv w:val="1"/>
      <w:marLeft w:val="0"/>
      <w:marRight w:val="0"/>
      <w:marTop w:val="0"/>
      <w:marBottom w:val="0"/>
      <w:divBdr>
        <w:top w:val="none" w:sz="0" w:space="0" w:color="auto"/>
        <w:left w:val="none" w:sz="0" w:space="0" w:color="auto"/>
        <w:bottom w:val="none" w:sz="0" w:space="0" w:color="auto"/>
        <w:right w:val="none" w:sz="0" w:space="0" w:color="auto"/>
      </w:divBdr>
    </w:div>
    <w:div w:id="484202087">
      <w:bodyDiv w:val="1"/>
      <w:marLeft w:val="0"/>
      <w:marRight w:val="0"/>
      <w:marTop w:val="0"/>
      <w:marBottom w:val="0"/>
      <w:divBdr>
        <w:top w:val="none" w:sz="0" w:space="0" w:color="auto"/>
        <w:left w:val="none" w:sz="0" w:space="0" w:color="auto"/>
        <w:bottom w:val="none" w:sz="0" w:space="0" w:color="auto"/>
        <w:right w:val="none" w:sz="0" w:space="0" w:color="auto"/>
      </w:divBdr>
    </w:div>
    <w:div w:id="730157614">
      <w:bodyDiv w:val="1"/>
      <w:marLeft w:val="0"/>
      <w:marRight w:val="0"/>
      <w:marTop w:val="0"/>
      <w:marBottom w:val="0"/>
      <w:divBdr>
        <w:top w:val="none" w:sz="0" w:space="0" w:color="auto"/>
        <w:left w:val="none" w:sz="0" w:space="0" w:color="auto"/>
        <w:bottom w:val="none" w:sz="0" w:space="0" w:color="auto"/>
        <w:right w:val="none" w:sz="0" w:space="0" w:color="auto"/>
      </w:divBdr>
    </w:div>
    <w:div w:id="766467579">
      <w:bodyDiv w:val="1"/>
      <w:marLeft w:val="0"/>
      <w:marRight w:val="0"/>
      <w:marTop w:val="0"/>
      <w:marBottom w:val="0"/>
      <w:divBdr>
        <w:top w:val="none" w:sz="0" w:space="0" w:color="auto"/>
        <w:left w:val="none" w:sz="0" w:space="0" w:color="auto"/>
        <w:bottom w:val="none" w:sz="0" w:space="0" w:color="auto"/>
        <w:right w:val="none" w:sz="0" w:space="0" w:color="auto"/>
      </w:divBdr>
    </w:div>
    <w:div w:id="907109328">
      <w:bodyDiv w:val="1"/>
      <w:marLeft w:val="0"/>
      <w:marRight w:val="0"/>
      <w:marTop w:val="0"/>
      <w:marBottom w:val="0"/>
      <w:divBdr>
        <w:top w:val="none" w:sz="0" w:space="0" w:color="auto"/>
        <w:left w:val="none" w:sz="0" w:space="0" w:color="auto"/>
        <w:bottom w:val="none" w:sz="0" w:space="0" w:color="auto"/>
        <w:right w:val="none" w:sz="0" w:space="0" w:color="auto"/>
      </w:divBdr>
      <w:divsChild>
        <w:div w:id="1729962418">
          <w:marLeft w:val="0"/>
          <w:marRight w:val="0"/>
          <w:marTop w:val="0"/>
          <w:marBottom w:val="0"/>
          <w:divBdr>
            <w:top w:val="none" w:sz="0" w:space="0" w:color="auto"/>
            <w:left w:val="none" w:sz="0" w:space="0" w:color="auto"/>
            <w:bottom w:val="none" w:sz="0" w:space="0" w:color="auto"/>
            <w:right w:val="none" w:sz="0" w:space="0" w:color="auto"/>
          </w:divBdr>
          <w:divsChild>
            <w:div w:id="1880971049">
              <w:marLeft w:val="0"/>
              <w:marRight w:val="0"/>
              <w:marTop w:val="0"/>
              <w:marBottom w:val="0"/>
              <w:divBdr>
                <w:top w:val="none" w:sz="0" w:space="0" w:color="auto"/>
                <w:left w:val="none" w:sz="0" w:space="0" w:color="auto"/>
                <w:bottom w:val="none" w:sz="0" w:space="0" w:color="auto"/>
                <w:right w:val="none" w:sz="0" w:space="0" w:color="auto"/>
              </w:divBdr>
              <w:divsChild>
                <w:div w:id="8511832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4166837">
      <w:bodyDiv w:val="1"/>
      <w:marLeft w:val="0"/>
      <w:marRight w:val="0"/>
      <w:marTop w:val="0"/>
      <w:marBottom w:val="0"/>
      <w:divBdr>
        <w:top w:val="none" w:sz="0" w:space="0" w:color="auto"/>
        <w:left w:val="none" w:sz="0" w:space="0" w:color="auto"/>
        <w:bottom w:val="none" w:sz="0" w:space="0" w:color="auto"/>
        <w:right w:val="none" w:sz="0" w:space="0" w:color="auto"/>
      </w:divBdr>
    </w:div>
    <w:div w:id="920145338">
      <w:bodyDiv w:val="1"/>
      <w:marLeft w:val="0"/>
      <w:marRight w:val="0"/>
      <w:marTop w:val="0"/>
      <w:marBottom w:val="0"/>
      <w:divBdr>
        <w:top w:val="none" w:sz="0" w:space="0" w:color="auto"/>
        <w:left w:val="none" w:sz="0" w:space="0" w:color="auto"/>
        <w:bottom w:val="none" w:sz="0" w:space="0" w:color="auto"/>
        <w:right w:val="none" w:sz="0" w:space="0" w:color="auto"/>
      </w:divBdr>
    </w:div>
    <w:div w:id="980233712">
      <w:bodyDiv w:val="1"/>
      <w:marLeft w:val="0"/>
      <w:marRight w:val="0"/>
      <w:marTop w:val="0"/>
      <w:marBottom w:val="0"/>
      <w:divBdr>
        <w:top w:val="none" w:sz="0" w:space="0" w:color="auto"/>
        <w:left w:val="none" w:sz="0" w:space="0" w:color="auto"/>
        <w:bottom w:val="none" w:sz="0" w:space="0" w:color="auto"/>
        <w:right w:val="none" w:sz="0" w:space="0" w:color="auto"/>
      </w:divBdr>
    </w:div>
    <w:div w:id="1112288388">
      <w:bodyDiv w:val="1"/>
      <w:marLeft w:val="0"/>
      <w:marRight w:val="0"/>
      <w:marTop w:val="0"/>
      <w:marBottom w:val="0"/>
      <w:divBdr>
        <w:top w:val="none" w:sz="0" w:space="0" w:color="auto"/>
        <w:left w:val="none" w:sz="0" w:space="0" w:color="auto"/>
        <w:bottom w:val="none" w:sz="0" w:space="0" w:color="auto"/>
        <w:right w:val="none" w:sz="0" w:space="0" w:color="auto"/>
      </w:divBdr>
    </w:div>
    <w:div w:id="1127241281">
      <w:bodyDiv w:val="1"/>
      <w:marLeft w:val="0"/>
      <w:marRight w:val="0"/>
      <w:marTop w:val="0"/>
      <w:marBottom w:val="0"/>
      <w:divBdr>
        <w:top w:val="none" w:sz="0" w:space="0" w:color="auto"/>
        <w:left w:val="none" w:sz="0" w:space="0" w:color="auto"/>
        <w:bottom w:val="none" w:sz="0" w:space="0" w:color="auto"/>
        <w:right w:val="none" w:sz="0" w:space="0" w:color="auto"/>
      </w:divBdr>
    </w:div>
    <w:div w:id="1135680493">
      <w:bodyDiv w:val="1"/>
      <w:marLeft w:val="0"/>
      <w:marRight w:val="0"/>
      <w:marTop w:val="0"/>
      <w:marBottom w:val="0"/>
      <w:divBdr>
        <w:top w:val="none" w:sz="0" w:space="0" w:color="auto"/>
        <w:left w:val="none" w:sz="0" w:space="0" w:color="auto"/>
        <w:bottom w:val="none" w:sz="0" w:space="0" w:color="auto"/>
        <w:right w:val="none" w:sz="0" w:space="0" w:color="auto"/>
      </w:divBdr>
    </w:div>
    <w:div w:id="1174536280">
      <w:bodyDiv w:val="1"/>
      <w:marLeft w:val="0"/>
      <w:marRight w:val="0"/>
      <w:marTop w:val="0"/>
      <w:marBottom w:val="0"/>
      <w:divBdr>
        <w:top w:val="none" w:sz="0" w:space="0" w:color="auto"/>
        <w:left w:val="none" w:sz="0" w:space="0" w:color="auto"/>
        <w:bottom w:val="none" w:sz="0" w:space="0" w:color="auto"/>
        <w:right w:val="none" w:sz="0" w:space="0" w:color="auto"/>
      </w:divBdr>
    </w:div>
    <w:div w:id="1239095439">
      <w:bodyDiv w:val="1"/>
      <w:marLeft w:val="0"/>
      <w:marRight w:val="0"/>
      <w:marTop w:val="0"/>
      <w:marBottom w:val="0"/>
      <w:divBdr>
        <w:top w:val="none" w:sz="0" w:space="0" w:color="auto"/>
        <w:left w:val="none" w:sz="0" w:space="0" w:color="auto"/>
        <w:bottom w:val="none" w:sz="0" w:space="0" w:color="auto"/>
        <w:right w:val="none" w:sz="0" w:space="0" w:color="auto"/>
      </w:divBdr>
    </w:div>
    <w:div w:id="1443577188">
      <w:bodyDiv w:val="1"/>
      <w:marLeft w:val="0"/>
      <w:marRight w:val="0"/>
      <w:marTop w:val="0"/>
      <w:marBottom w:val="0"/>
      <w:divBdr>
        <w:top w:val="none" w:sz="0" w:space="0" w:color="auto"/>
        <w:left w:val="none" w:sz="0" w:space="0" w:color="auto"/>
        <w:bottom w:val="none" w:sz="0" w:space="0" w:color="auto"/>
        <w:right w:val="none" w:sz="0" w:space="0" w:color="auto"/>
      </w:divBdr>
    </w:div>
    <w:div w:id="1531262139">
      <w:bodyDiv w:val="1"/>
      <w:marLeft w:val="0"/>
      <w:marRight w:val="0"/>
      <w:marTop w:val="0"/>
      <w:marBottom w:val="0"/>
      <w:divBdr>
        <w:top w:val="none" w:sz="0" w:space="0" w:color="auto"/>
        <w:left w:val="none" w:sz="0" w:space="0" w:color="auto"/>
        <w:bottom w:val="none" w:sz="0" w:space="0" w:color="auto"/>
        <w:right w:val="none" w:sz="0" w:space="0" w:color="auto"/>
      </w:divBdr>
    </w:div>
    <w:div w:id="1545092785">
      <w:bodyDiv w:val="1"/>
      <w:marLeft w:val="0"/>
      <w:marRight w:val="0"/>
      <w:marTop w:val="0"/>
      <w:marBottom w:val="0"/>
      <w:divBdr>
        <w:top w:val="none" w:sz="0" w:space="0" w:color="auto"/>
        <w:left w:val="none" w:sz="0" w:space="0" w:color="auto"/>
        <w:bottom w:val="none" w:sz="0" w:space="0" w:color="auto"/>
        <w:right w:val="none" w:sz="0" w:space="0" w:color="auto"/>
      </w:divBdr>
    </w:div>
    <w:div w:id="1727486440">
      <w:bodyDiv w:val="1"/>
      <w:marLeft w:val="0"/>
      <w:marRight w:val="0"/>
      <w:marTop w:val="0"/>
      <w:marBottom w:val="0"/>
      <w:divBdr>
        <w:top w:val="none" w:sz="0" w:space="0" w:color="auto"/>
        <w:left w:val="none" w:sz="0" w:space="0" w:color="auto"/>
        <w:bottom w:val="none" w:sz="0" w:space="0" w:color="auto"/>
        <w:right w:val="none" w:sz="0" w:space="0" w:color="auto"/>
      </w:divBdr>
    </w:div>
    <w:div w:id="1732271513">
      <w:bodyDiv w:val="1"/>
      <w:marLeft w:val="0"/>
      <w:marRight w:val="0"/>
      <w:marTop w:val="0"/>
      <w:marBottom w:val="0"/>
      <w:divBdr>
        <w:top w:val="none" w:sz="0" w:space="0" w:color="auto"/>
        <w:left w:val="none" w:sz="0" w:space="0" w:color="auto"/>
        <w:bottom w:val="none" w:sz="0" w:space="0" w:color="auto"/>
        <w:right w:val="none" w:sz="0" w:space="0" w:color="auto"/>
      </w:divBdr>
    </w:div>
    <w:div w:id="1753310332">
      <w:bodyDiv w:val="1"/>
      <w:marLeft w:val="0"/>
      <w:marRight w:val="0"/>
      <w:marTop w:val="0"/>
      <w:marBottom w:val="0"/>
      <w:divBdr>
        <w:top w:val="none" w:sz="0" w:space="0" w:color="auto"/>
        <w:left w:val="none" w:sz="0" w:space="0" w:color="auto"/>
        <w:bottom w:val="none" w:sz="0" w:space="0" w:color="auto"/>
        <w:right w:val="none" w:sz="0" w:space="0" w:color="auto"/>
      </w:divBdr>
    </w:div>
    <w:div w:id="1776945384">
      <w:bodyDiv w:val="1"/>
      <w:marLeft w:val="0"/>
      <w:marRight w:val="0"/>
      <w:marTop w:val="0"/>
      <w:marBottom w:val="0"/>
      <w:divBdr>
        <w:top w:val="none" w:sz="0" w:space="0" w:color="auto"/>
        <w:left w:val="none" w:sz="0" w:space="0" w:color="auto"/>
        <w:bottom w:val="none" w:sz="0" w:space="0" w:color="auto"/>
        <w:right w:val="none" w:sz="0" w:space="0" w:color="auto"/>
      </w:divBdr>
    </w:div>
    <w:div w:id="1791900906">
      <w:bodyDiv w:val="1"/>
      <w:marLeft w:val="0"/>
      <w:marRight w:val="0"/>
      <w:marTop w:val="0"/>
      <w:marBottom w:val="0"/>
      <w:divBdr>
        <w:top w:val="none" w:sz="0" w:space="0" w:color="auto"/>
        <w:left w:val="none" w:sz="0" w:space="0" w:color="auto"/>
        <w:bottom w:val="none" w:sz="0" w:space="0" w:color="auto"/>
        <w:right w:val="none" w:sz="0" w:space="0" w:color="auto"/>
      </w:divBdr>
    </w:div>
    <w:div w:id="1879049784">
      <w:bodyDiv w:val="1"/>
      <w:marLeft w:val="0"/>
      <w:marRight w:val="0"/>
      <w:marTop w:val="0"/>
      <w:marBottom w:val="0"/>
      <w:divBdr>
        <w:top w:val="none" w:sz="0" w:space="0" w:color="auto"/>
        <w:left w:val="none" w:sz="0" w:space="0" w:color="auto"/>
        <w:bottom w:val="none" w:sz="0" w:space="0" w:color="auto"/>
        <w:right w:val="none" w:sz="0" w:space="0" w:color="auto"/>
      </w:divBdr>
    </w:div>
    <w:div w:id="2074621391">
      <w:bodyDiv w:val="1"/>
      <w:marLeft w:val="0"/>
      <w:marRight w:val="0"/>
      <w:marTop w:val="0"/>
      <w:marBottom w:val="0"/>
      <w:divBdr>
        <w:top w:val="none" w:sz="0" w:space="0" w:color="auto"/>
        <w:left w:val="none" w:sz="0" w:space="0" w:color="auto"/>
        <w:bottom w:val="none" w:sz="0" w:space="0" w:color="auto"/>
        <w:right w:val="none" w:sz="0" w:space="0" w:color="auto"/>
      </w:divBdr>
    </w:div>
    <w:div w:id="20806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tal.nhs.uk/h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acs.org/~/media/files/quality%20programs/nsqip/nsqip_puf_userguide_2014.ashx" TargetMode="Externa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onsorsrep@bartshealth.nhs.uk" TargetMode="External"/><Relationship Id="rId14" Type="http://schemas.openxmlformats.org/officeDocument/2006/relationships/hyperlink" Target="https://www.gov.uk/government/publications/nhs-reference-costs-2014-to-20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Ame15</b:Tag>
    <b:SourceType>DocumentFromInternetSite</b:SourceType>
    <b:Guid>{057424CB-667F-4C44-AB35-EC676FC898FD}</b:Guid>
    <b:Author>
      <b:Author>
        <b:Corporate>American College of Surgeons National Surgical Quality Improvement Program</b:Corporate>
      </b:Author>
    </b:Author>
    <b:InternetSiteTitle>American College of Surgeons</b:InternetSiteTitle>
    <b:Year>2015</b:Year>
    <b:Month>October</b:Month>
    <b:URL>https://www.facs.org/~/media/files/quality%20programs/n</b:URL>
    <b:RefOrder>1</b:RefOrder>
  </b:Source>
</b:Sources>
</file>

<file path=customXml/itemProps1.xml><?xml version="1.0" encoding="utf-8"?>
<ds:datastoreItem xmlns:ds="http://schemas.openxmlformats.org/officeDocument/2006/customXml" ds:itemID="{5BE71536-673E-4CF3-92CB-1B91192F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16368</Words>
  <Characters>93300</Characters>
  <Application>Microsoft Office Word</Application>
  <DocSecurity>0</DocSecurity>
  <Lines>777</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Barts Health</Company>
  <LinksUpToDate>false</LinksUpToDate>
  <CharactersWithSpaces>109450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Whalley, Jan (Patient Feed Spvr)</dc:creator>
  <cp:lastModifiedBy>Whalley, Jan (Patient Feed Spvr)</cp:lastModifiedBy>
  <cp:revision>2</cp:revision>
  <cp:lastPrinted>2017-03-20T15:02:00Z</cp:lastPrinted>
  <dcterms:created xsi:type="dcterms:W3CDTF">2018-06-15T11:46:00Z</dcterms:created>
  <dcterms:modified xsi:type="dcterms:W3CDTF">2018-06-15T11:46:00Z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id="14HFiqcc"/&gt;&lt;style id="http://www.zotero.org/styles/vancouver" hasBibliography="1" bibliographyStyleHasBeenSet="1"/&gt;&lt;prefs&gt;&lt;pref name="fieldType" value="Field"/&gt;&lt;pref name="storeReferences" val</vt:lpwstr>
  </property>
  <property fmtid="{D5CDD505-2E9C-101B-9397-08002B2CF9AE}" pid="3" name="ZOTERO_PREF_2">
    <vt:lpwstr>ue="true"/&gt;&lt;pref name="automaticJournalAbbreviations" value=""/&gt;&lt;pref name="noteType" value=""/&gt;&lt;/prefs&gt;&lt;/data&gt;</vt:lpwstr>
  </property>
</Properties>
</file>